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OСНОВНИ ПОДАЦИ</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135"/>
        <w:gridCol w:w="605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6"/>
                <w:szCs w:val="26"/>
                <w:lang w:val="sr-Cyrl-RS"/>
              </w:rPr>
              <w:t>Јелена</w:t>
            </w:r>
            <w:r>
              <w:rPr>
                <w:rFonts w:ascii="Palatino Linotype" w:hAnsi="Palatino Linotype"/>
                <w:sz w:val="26"/>
                <w:szCs w:val="26"/>
              </w:rPr>
              <w:t xml:space="preserve"> </w:t>
            </w:r>
            <w:r>
              <w:rPr>
                <w:rFonts w:ascii="Palatino Linotype" w:hAnsi="Palatino Linotype" w:eastAsia="Times New Roman"/>
                <w:color w:val="000000"/>
                <w:sz w:val="26"/>
                <w:szCs w:val="26"/>
                <w:lang w:val="sr-Cyrl-RS"/>
              </w:rPr>
              <w:t>Павић (Грујић)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6"/>
                <w:szCs w:val="26"/>
              </w:rPr>
              <w:t>1993</w:t>
            </w:r>
            <w:r>
              <w:rPr>
                <w:rFonts w:ascii="Palatino Linotype" w:hAnsi="Palatino Linotype" w:eastAsia="Times New Roman"/>
                <w:color w:val="000000"/>
                <w:sz w:val="26"/>
                <w:szCs w:val="26"/>
                <w:lang w:val="sr-Cyrl-RS"/>
              </w:rPr>
              <w:t>, Ћуприја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sz w:val="26"/>
                <w:szCs w:val="26"/>
                <w:lang w:val="sr-Cyrl-RS"/>
              </w:rPr>
              <w:t>Истраживач 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color w:val="000000"/>
                <w:sz w:val="26"/>
                <w:szCs w:val="26"/>
                <w:shd w:val="clear" w:color="auto" w:fill="FFFFFF"/>
              </w:rPr>
              <w:t>jelena.pavic@uni.kg.ac.rs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6"/>
                <w:szCs w:val="26"/>
              </w:rPr>
              <w:t>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6"/>
                <w:szCs w:val="26"/>
              </w:rPr>
              <w:t>Универзитет у Крагујевцу, Институт за информационе технологије, Сектор за природно-математичке 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6"/>
                <w:szCs w:val="26"/>
                <w:lang w:val="sr-Cyrl-RS"/>
              </w:rPr>
              <w:t>Биоинжењеринг</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ОСНОВНЕ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68"/>
        <w:gridCol w:w="69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2012-2016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Универзитет у Крагујевцу, Природно-математички факултет, Институт за</w:t>
            </w:r>
            <w:r>
              <w:rPr>
                <w:rFonts w:ascii="Palatino Linotype" w:hAnsi="Palatino Linotype" w:eastAsia="Times New Roman"/>
                <w:color w:val="000000"/>
                <w:sz w:val="27"/>
                <w:szCs w:val="27"/>
                <w:lang w:val="sr-Cyrl-RS"/>
              </w:rPr>
              <w:t xml:space="preserve"> биологију</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МАСТЕР</w:t>
      </w:r>
      <w:r>
        <w:rPr>
          <w:rFonts w:ascii="Palatino Linotype" w:hAnsi="Palatino Linotype" w:eastAsia="Times New Roman"/>
          <w:b/>
          <w:color w:val="000000"/>
          <w:sz w:val="27"/>
          <w:szCs w:val="27"/>
        </w:rPr>
        <w:t xml:space="preserve">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049"/>
        <w:gridCol w:w="71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93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2016-2017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Универзитет у Крагујевцу, Природно-математички факултет, Институт за</w:t>
            </w:r>
            <w:r>
              <w:rPr>
                <w:rFonts w:ascii="Palatino Linotype" w:hAnsi="Palatino Linotype" w:eastAsia="Times New Roman"/>
                <w:color w:val="000000"/>
                <w:sz w:val="27"/>
                <w:szCs w:val="27"/>
                <w:lang w:val="sr-Cyrl-RS"/>
              </w:rPr>
              <w:t xml:space="preserve"> биологију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2019-2021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Универзитет у Крагујевцу, </w:t>
            </w:r>
            <w:r>
              <w:rPr>
                <w:rFonts w:ascii="Palatino Linotype" w:hAnsi="Palatino Linotype" w:eastAsia="Times New Roman"/>
                <w:color w:val="000000"/>
                <w:sz w:val="27"/>
                <w:szCs w:val="27"/>
                <w:lang w:val="sr-Cyrl-RS"/>
              </w:rPr>
              <w:t>Факултет инжењерских наука</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ДОКТОРСКА ДИСЕРТАЦИЈА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42"/>
        <w:gridCol w:w="655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60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5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w:t>
            </w:r>
            <w:r>
              <w:rPr>
                <w:rFonts w:ascii="Palatino Linotype" w:hAnsi="Palatino Linotype"/>
                <w:sz w:val="27"/>
                <w:szCs w:val="27"/>
                <w:lang w:val="sr-Cyrl-RS" w:eastAsia="sr-Latn-RS"/>
              </w:rPr>
              <w:t>22</w:t>
            </w:r>
            <w:r>
              <w:rPr>
                <w:rFonts w:ascii="Palatino Linotype" w:hAnsi="Palatino Linotype"/>
                <w:sz w:val="27"/>
                <w:szCs w:val="27"/>
                <w:lang w:val="sr-Latn-RS" w:eastAsia="sr-Latn-RS"/>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eastAsia="Times New Roman"/>
                <w:color w:val="000000"/>
                <w:sz w:val="27"/>
                <w:szCs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Универзитет у Крагујевцу, </w:t>
            </w:r>
            <w:r>
              <w:rPr>
                <w:rFonts w:ascii="Palatino Linotype" w:hAnsi="Palatino Linotype" w:eastAsia="Times New Roman"/>
                <w:color w:val="000000"/>
                <w:sz w:val="27"/>
                <w:szCs w:val="27"/>
                <w:lang w:val="sr-Cyrl-RS"/>
              </w:rPr>
              <w:t>Факултет инжењерских наука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Утицај експресије гена укључених у апоптозу, редокс статуса и патогенезу на тип</w:t>
            </w:r>
            <w:r>
              <w:rPr>
                <w:rFonts w:ascii="Palatino Linotype" w:hAnsi="Palatino Linotype" w:eastAsia="Times New Roman"/>
                <w:color w:val="000000"/>
                <w:sz w:val="27"/>
                <w:szCs w:val="27"/>
                <w:lang w:val="sr-Cyrl-RS"/>
              </w:rPr>
              <w:t xml:space="preserve"> </w:t>
            </w:r>
            <w:r>
              <w:rPr>
                <w:rFonts w:ascii="Palatino Linotype" w:hAnsi="Palatino Linotype" w:eastAsia="Times New Roman"/>
                <w:color w:val="000000"/>
                <w:sz w:val="27"/>
                <w:szCs w:val="27"/>
              </w:rPr>
              <w:t>кардиомиопатије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Биоинжењеринг</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СТРУЧНА БИОГРАФИЈА – ИЗБОРИ У ИСТРАЖИВАЧКА ОДНОСНО НАУЧНА ЗВАЊА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18.11.2019</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tabs>
                <w:tab w:val="left" w:pos="930"/>
              </w:tabs>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 Институт за</w:t>
            </w:r>
            <w:r>
              <w:rPr>
                <w:rFonts w:ascii="Palatino Linotype" w:hAnsi="Palatino Linotype" w:eastAsia="Times New Roman"/>
                <w:color w:val="000000"/>
                <w:sz w:val="27"/>
                <w:szCs w:val="27"/>
                <w:lang w:val="sr-Cyrl-RS"/>
              </w:rPr>
              <w:t xml:space="preserve"> информационе технологије</w:t>
            </w:r>
            <w:r>
              <w:rPr>
                <w:rFonts w:ascii="Palatino Linotype" w:hAnsi="Palatino Linotype" w:eastAsia="Times New Roman"/>
                <w:color w:val="000000"/>
                <w:sz w:val="27"/>
                <w:szCs w:val="27"/>
              </w:rPr>
              <w:tab/>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истраживач-приправник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30.11.2023.</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у Крагујевцу, Институт за</w:t>
            </w:r>
            <w:r>
              <w:rPr>
                <w:rFonts w:ascii="Palatino Linotype" w:hAnsi="Palatino Linotype" w:eastAsia="Times New Roman"/>
                <w:color w:val="000000"/>
                <w:sz w:val="27"/>
                <w:szCs w:val="27"/>
                <w:lang w:val="sr-Cyrl-RS"/>
              </w:rPr>
              <w:t xml:space="preserve"> информационе технологије</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истраживач-</w:t>
            </w:r>
            <w:r>
              <w:rPr>
                <w:rFonts w:ascii="Palatino Linotype" w:hAnsi="Palatino Linotype" w:eastAsia="Times New Roman"/>
                <w:color w:val="000000"/>
                <w:sz w:val="27"/>
                <w:szCs w:val="27"/>
                <w:lang w:val="sr-Cyrl-RS"/>
              </w:rPr>
              <w:t>сарад</w:t>
            </w:r>
            <w:r>
              <w:rPr>
                <w:rFonts w:ascii="Palatino Linotype" w:hAnsi="Palatino Linotype" w:eastAsia="Times New Roman"/>
                <w:color w:val="000000"/>
                <w:sz w:val="27"/>
                <w:szCs w:val="27"/>
              </w:rPr>
              <w:t>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УСАВРШАВАЊЕ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301"/>
        <w:gridCol w:w="6513"/>
        <w:gridCol w:w="137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eastAsia="Times New Roman"/>
                <w:color w:val="000000"/>
                <w:sz w:val="27"/>
                <w:szCs w:val="27"/>
                <w:lang w:val="sr-Cyrl-RS"/>
              </w:rPr>
              <w:t>2019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eastAsia="Times New Roman"/>
                <w:color w:val="000000"/>
                <w:sz w:val="27"/>
                <w:szCs w:val="27"/>
                <w:lang w:val="sr-Cyrl-RS"/>
              </w:rPr>
              <w:t>Катедра за клиничку и експерименталну медицину, одељење физиологије, Фиренца, Италија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lang w:val="sr-Cyrl-RS"/>
        </w:rPr>
        <w:t xml:space="preserve"> КАДРОВА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ЧЛАНСТВО У НАУЧНИМ</w:t>
      </w:r>
      <w:r>
        <w:rPr>
          <w:rFonts w:ascii="Palatino Linotype" w:hAnsi="Palatino Linotype" w:eastAsia="Times New Roman"/>
          <w:b/>
          <w:bCs/>
          <w:color w:val="000000"/>
          <w:sz w:val="27"/>
          <w:szCs w:val="27"/>
          <w:lang w:val="sr-Cyrl-RS"/>
        </w:rPr>
        <w:t xml:space="preserve"> И</w:t>
      </w:r>
      <w:r>
        <w:rPr>
          <w:rFonts w:ascii="Palatino Linotype" w:hAnsi="Palatino Linotype" w:eastAsia="Times New Roman"/>
          <w:b/>
          <w:bCs/>
          <w:color w:val="000000"/>
          <w:sz w:val="27"/>
          <w:szCs w:val="27"/>
        </w:rPr>
        <w:t xml:space="preserve"> СТРУЧНИМ АСОЦИЈАЦИЈАМА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ОРГАНИЗАЦИЈА СКУПОВА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НАУЧНО-ИСТРАЖИВАЧКИ РАД</w:t>
      </w:r>
      <w:r>
        <w:rPr>
          <w:rFonts w:ascii="Palatino Linotype" w:hAnsi="Palatino Linotype" w:eastAsia="Times New Roman"/>
          <w:b/>
          <w:bCs/>
          <w:color w:val="000000"/>
          <w:sz w:val="27"/>
          <w:szCs w:val="27"/>
          <w:lang w:val="sr-Cyrl-RS"/>
        </w:rPr>
        <w:t>*</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М1</w:t>
            </w:r>
            <w:r>
              <w:rPr>
                <w:rFonts w:ascii="Palatino Linotype" w:hAnsi="Palatino Linotype" w:eastAsia="Times New Roman"/>
                <w:b/>
                <w:bCs/>
                <w:color w:val="000000"/>
                <w:sz w:val="27"/>
                <w:szCs w:val="27"/>
                <w:lang w:val="sr-Cyrl-RS"/>
              </w:rPr>
              <w:t>0</w:t>
            </w:r>
          </w:p>
          <w:p>
            <w:pPr>
              <w:spacing w:after="0" w:line="240" w:lineRule="auto"/>
              <w:jc w:val="both"/>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Монографије, Монографск</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xml:space="preserve"> студиј</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rPr>
              <w:t>, Тематски зборници</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М20</w:t>
            </w: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color w:val="000000"/>
                <w:sz w:val="27"/>
                <w:szCs w:val="27"/>
              </w:rPr>
              <w:t>Рад</w:t>
            </w:r>
            <w:r>
              <w:rPr>
                <w:rFonts w:ascii="Palatino Linotype" w:hAnsi="Palatino Linotype" w:eastAsia="Times New Roman"/>
                <w:color w:val="000000"/>
                <w:sz w:val="27"/>
                <w:szCs w:val="27"/>
                <w:lang w:val="sr-Cyrl-RS"/>
              </w:rPr>
              <w:t>ови објављени у научним часописима међународног научног значаја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spacing w:line="264" w:lineRule="auto"/>
              <w:contextualSpacing/>
              <w:jc w:val="both"/>
              <w:rPr>
                <w:lang w:val="it-IT"/>
              </w:rPr>
            </w:pPr>
            <w:r>
              <w:t>Arsenijevic N, Selakovic D, Katanic Stankovic J, Mihailovic V, Mitrovic S, Milenkovic J, Milanovic P, Vasovic M, Markovic S, Zivanovic M, Grujic J, Jovicic N, Rosic G. The beneficial role of Filipendula ulmaria extract in prevention of prodepressant effect and cognitive impairment induced by nanoparticles of calcium phosphates in rats. Oxidative Medicine and Cellular Longevity. 2021(5):1-12</w:t>
            </w:r>
            <w:r>
              <w:rPr>
                <w:lang w:val="sr-Cyrl-RS"/>
              </w:rPr>
              <w:t xml:space="preserve"> ДОИ: </w:t>
            </w:r>
            <w:r>
              <w:fldChar w:fldCharType="begin"/>
            </w:r>
            <w:r>
              <w:instrText xml:space="preserve"> HYPERLINK "http://dx.doi.org/10.1155/2021/6670135" \t "_blank" </w:instrText>
            </w:r>
            <w:r>
              <w:fldChar w:fldCharType="separate"/>
            </w:r>
            <w:r>
              <w:rPr>
                <w:rStyle w:val="18"/>
                <w:color w:val="000000" w:themeColor="text1"/>
                <w:shd w:val="clear" w:color="auto" w:fill="FFFFFF"/>
                <w14:textFill>
                  <w14:solidFill>
                    <w14:schemeClr w14:val="tx1"/>
                  </w14:solidFill>
                </w14:textFill>
              </w:rPr>
              <w:t>10.1155/2021/6670135</w:t>
            </w:r>
            <w:r>
              <w:rPr>
                <w:rStyle w:val="18"/>
                <w:color w:val="000000" w:themeColor="text1"/>
                <w:shd w:val="clear" w:color="auto" w:fill="FFFFFF"/>
                <w14:textFill>
                  <w14:solidFill>
                    <w14:schemeClr w14:val="tx1"/>
                  </w14:solidFill>
                </w14:textFill>
              </w:rPr>
              <w:fldChar w:fldCharType="end"/>
            </w:r>
            <w:r>
              <w:rPr>
                <w:color w:val="000000" w:themeColor="text1"/>
                <w:lang w:val="sr-Cyrl-RS"/>
                <w14:textFill>
                  <w14:solidFill>
                    <w14:schemeClr w14:val="tx1"/>
                  </w14:solidFill>
                </w14:textFill>
              </w:rPr>
              <w:t xml:space="preserve"> М21</w:t>
            </w:r>
          </w:p>
          <w:p>
            <w:pPr>
              <w:pStyle w:val="51"/>
              <w:numPr>
                <w:ilvl w:val="0"/>
                <w:numId w:val="1"/>
              </w:numPr>
              <w:spacing w:line="256" w:lineRule="auto"/>
              <w:contextualSpacing/>
              <w:rPr>
                <w:rFonts w:ascii="Palatino Linotype" w:hAnsi="Palatino Linotype"/>
                <w:b/>
                <w:color w:val="000000"/>
                <w:sz w:val="27"/>
                <w:szCs w:val="27"/>
              </w:rPr>
            </w:pPr>
            <w:r>
              <w:rPr>
                <w:lang w:val="it-IT"/>
              </w:rPr>
              <w:t>Šeklić D.S., Jovanović M.M., Virijević K.D., Grujić J.N., Živanović M.N., Marković S.D. Pseudevernia furfuracea inhibits migration and invasion of colorectal carcinoma cell lines. Journal of Ethnopharmacology. 2021, 284:114758.</w:t>
            </w:r>
            <w:r>
              <w:rPr>
                <w:lang w:val="sr-Cyrl-RS"/>
              </w:rPr>
              <w:t xml:space="preserve"> ДОИ:</w:t>
            </w:r>
            <w:r>
              <w:fldChar w:fldCharType="begin"/>
            </w:r>
            <w:r>
              <w:instrText xml:space="preserve"> HYPERLINK "https://dx.doi.org/10.17113%2Fftb.56.03.18.5727" \t "_blank" </w:instrText>
            </w:r>
            <w:r>
              <w:fldChar w:fldCharType="separate"/>
            </w:r>
            <w:r>
              <w:rPr>
                <w:rStyle w:val="18"/>
                <w:color w:val="000000" w:themeColor="text1"/>
                <w:shd w:val="clear" w:color="auto" w:fill="FFFFFF"/>
                <w14:textFill>
                  <w14:solidFill>
                    <w14:schemeClr w14:val="tx1"/>
                  </w14:solidFill>
                </w14:textFill>
              </w:rPr>
              <w:t>10.17113/ftb.56.03.18.5727</w:t>
            </w:r>
            <w:r>
              <w:rPr>
                <w:rStyle w:val="18"/>
                <w:color w:val="000000" w:themeColor="text1"/>
                <w:shd w:val="clear" w:color="auto" w:fill="FFFFFF"/>
                <w14:textFill>
                  <w14:solidFill>
                    <w14:schemeClr w14:val="tx1"/>
                  </w14:solidFill>
                </w14:textFill>
              </w:rPr>
              <w:fldChar w:fldCharType="end"/>
            </w:r>
            <w:r>
              <w:rPr>
                <w:color w:val="000000" w:themeColor="text1"/>
                <w:lang w:val="sr-Cyrl-RS"/>
                <w14:textFill>
                  <w14:solidFill>
                    <w14:schemeClr w14:val="tx1"/>
                  </w14:solidFill>
                </w14:textFill>
              </w:rPr>
              <w:t xml:space="preserve">  М21</w:t>
            </w:r>
          </w:p>
          <w:p>
            <w:pPr>
              <w:pStyle w:val="51"/>
              <w:numPr>
                <w:ilvl w:val="0"/>
                <w:numId w:val="1"/>
              </w:numPr>
              <w:spacing w:line="276" w:lineRule="auto"/>
              <w:contextualSpacing/>
              <w:jc w:val="both"/>
              <w:rPr>
                <w:b/>
                <w:bCs/>
                <w:lang w:val="sr-Cyrl-RS"/>
              </w:rPr>
            </w:pPr>
            <w:r>
              <w:rPr>
                <w:lang w:val="sr-Cyrl-RS"/>
              </w:rPr>
              <w:t xml:space="preserve">Jovanović MM, Marković KG, Grujović MŽ, </w:t>
            </w:r>
            <w:r>
              <w:rPr>
                <w:b/>
                <w:bCs/>
                <w:lang w:val="sr-Cyrl-RS"/>
              </w:rPr>
              <w:t>Pavić J</w:t>
            </w:r>
            <w:r>
              <w:rPr>
                <w:lang w:val="sr-Cyrl-RS"/>
              </w:rPr>
              <w:t>, Mitić M, Nikolić J, Šeklić D. Anticancer assessment and antibiofilm potential of Laetiporus sulphureus mushroom originated from Serbia. Food Sci Nutr. 2023 Jul 30;11(10):6393-6402.</w:t>
            </w:r>
            <w:r>
              <w:t xml:space="preserve"> ISSN:2048-7177, 2048-7177</w:t>
            </w:r>
            <w:r>
              <w:rPr>
                <w:lang w:val="sr-Cyrl-RS"/>
              </w:rPr>
              <w:t xml:space="preserve"> doi: 10.1002/fsn3.3577. М22</w:t>
            </w:r>
          </w:p>
          <w:p>
            <w:pPr>
              <w:pStyle w:val="51"/>
              <w:numPr>
                <w:ilvl w:val="0"/>
                <w:numId w:val="1"/>
              </w:numPr>
              <w:spacing w:after="160" w:line="256" w:lineRule="auto"/>
              <w:contextualSpacing/>
              <w:rPr>
                <w:rFonts w:ascii="Palatino Linotype" w:hAnsi="Palatino Linotype"/>
                <w:lang w:val="sr-Cyrl-RS"/>
              </w:rPr>
            </w:pPr>
            <w:r>
              <w:rPr>
                <w:rFonts w:ascii="Palatino Linotype" w:hAnsi="Palatino Linotype"/>
                <w:lang w:val="sr-Cyrl-RS"/>
              </w:rPr>
              <w:t>Jeremic J, Govoruskina N, Bradic J, Milosavljevic I, Srejovic I, Zivkovic V, Jeremic N, Nikolic Turnic T, Tanaskovic I, Bolevich S, Jakovljevic V, Bolevich S, Zivanovic MN, Okwose N, Seklic D, Milivojevic N, Grujic J, Velicki L, MacGowan G, Jakovljevic DG, Filipovic N. Sacubitril/valsartan reverses cardiac structure and function in experimental model of hypertension-induced hypertrophic cardiomyopathy. Mol Cell Biochem. 2023 Mar 30. doi: 10.1007/s11010-023-04690-7 М23</w:t>
            </w:r>
          </w:p>
          <w:p>
            <w:pPr>
              <w:pStyle w:val="51"/>
              <w:numPr>
                <w:ilvl w:val="0"/>
                <w:numId w:val="1"/>
              </w:numPr>
              <w:spacing w:line="256" w:lineRule="auto"/>
              <w:contextualSpacing/>
              <w:rPr>
                <w:rFonts w:ascii="Palatino Linotype" w:hAnsi="Palatino Linotype"/>
                <w:lang w:val="sr-Cyrl-RS"/>
              </w:rPr>
            </w:pPr>
            <w:r>
              <w:rPr>
                <w:rFonts w:ascii="Palatino Linotype" w:hAnsi="Palatino Linotype"/>
                <w:lang w:val="sr-Cyrl-RS"/>
              </w:rPr>
              <w:t xml:space="preserve">Mihajlovic, K., Divac, V. M., Kostic, M., Zivanovic, M., Grujic, J., &amp; Virijevic, K. (2022). Selenium-functionalized cyclic ethers derived from natural terpenic alcohols – biological in vitro profile. Macedonian Journal of Chemistry and Chemical Engineering, 41(1), 89–98. </w:t>
            </w:r>
            <w:r>
              <w:fldChar w:fldCharType="begin"/>
            </w:r>
            <w:r>
              <w:instrText xml:space="preserve"> HYPERLINK "https://doi.org/10.20450/mjcce.2022.2499" </w:instrText>
            </w:r>
            <w:r>
              <w:fldChar w:fldCharType="separate"/>
            </w:r>
            <w:r>
              <w:rPr>
                <w:rStyle w:val="18"/>
                <w:rFonts w:ascii="Palatino Linotype" w:hAnsi="Palatino Linotype"/>
                <w:lang w:val="sr-Cyrl-RS"/>
              </w:rPr>
              <w:t>https://doi.org/10.20450/mjcce.2022.2499</w:t>
            </w:r>
            <w:r>
              <w:rPr>
                <w:rStyle w:val="18"/>
                <w:rFonts w:ascii="Palatino Linotype" w:hAnsi="Palatino Linotype"/>
                <w:lang w:val="sr-Cyrl-RS"/>
              </w:rPr>
              <w:fldChar w:fldCharType="end"/>
            </w:r>
            <w:r>
              <w:rPr>
                <w:rFonts w:ascii="Palatino Linotype" w:hAnsi="Palatino Linotype"/>
              </w:rPr>
              <w:t xml:space="preserve"> </w:t>
            </w:r>
            <w:r>
              <w:rPr>
                <w:rFonts w:ascii="Palatino Linotype" w:hAnsi="Palatino Linotype"/>
                <w:lang w:val="sr-Cyrl-RS"/>
              </w:rPr>
              <w:t>М23</w:t>
            </w:r>
          </w:p>
          <w:p>
            <w:pPr>
              <w:pStyle w:val="51"/>
              <w:numPr>
                <w:ilvl w:val="0"/>
                <w:numId w:val="1"/>
              </w:numPr>
              <w:spacing w:line="256" w:lineRule="auto"/>
              <w:contextualSpacing/>
              <w:rPr>
                <w:rFonts w:ascii="Palatino Linotype" w:hAnsi="Palatino Linotype"/>
                <w:lang w:val="sr-Cyrl-RS"/>
              </w:rPr>
            </w:pPr>
            <w:r>
              <w:rPr>
                <w:rFonts w:ascii="Palatino Linotype" w:hAnsi="Palatino Linotype"/>
                <w:lang w:val="it-IT"/>
              </w:rPr>
              <w:t xml:space="preserve">Mladenović, К., Grujović, M., Grujić, J., &amp; Čomić, Lј. (2022). Ecological parameters which control the in vitro development and growth of Klebsiella isolates from traditional Serbian cheese. Archiv Für Lebensmittelhygiene. 23. 25–32. doi:10.2376/0003-925X-73-25.   </w:t>
            </w:r>
            <w:r>
              <w:rPr>
                <w:rFonts w:ascii="Palatino Linotype" w:hAnsi="Palatino Linotype"/>
                <w:lang w:val="sr-Cyrl-RS"/>
              </w:rPr>
              <w:t>М23</w:t>
            </w:r>
          </w:p>
          <w:p>
            <w:pPr>
              <w:pStyle w:val="51"/>
              <w:spacing w:line="256" w:lineRule="auto"/>
              <w:contextualSpacing/>
              <w:rPr>
                <w:rFonts w:ascii="Palatino Linotype" w:hAnsi="Palatino Linotype"/>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М30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 xml:space="preserve">Зборници </w:t>
            </w:r>
            <w:r>
              <w:rPr>
                <w:rFonts w:ascii="Palatino Linotype" w:hAnsi="Palatino Linotype" w:eastAsia="Times New Roman"/>
                <w:bCs/>
                <w:color w:val="000000"/>
                <w:sz w:val="27"/>
                <w:szCs w:val="27"/>
              </w:rPr>
              <w:t>међународн</w:t>
            </w:r>
            <w:r>
              <w:rPr>
                <w:rFonts w:ascii="Palatino Linotype" w:hAnsi="Palatino Linotype" w:eastAsia="Times New Roman"/>
                <w:bCs/>
                <w:color w:val="000000"/>
                <w:sz w:val="27"/>
                <w:szCs w:val="27"/>
                <w:lang w:val="sr-Cyrl-RS"/>
              </w:rPr>
              <w:t>их научних</w:t>
            </w:r>
            <w:r>
              <w:rPr>
                <w:rFonts w:ascii="Palatino Linotype" w:hAnsi="Palatino Linotype" w:eastAsia="Times New Roman"/>
                <w:bCs/>
                <w:color w:val="000000"/>
                <w:sz w:val="27"/>
                <w:szCs w:val="27"/>
              </w:rPr>
              <w:t xml:space="preserve"> скуп</w:t>
            </w:r>
            <w:r>
              <w:rPr>
                <w:rFonts w:ascii="Palatino Linotype" w:hAnsi="Palatino Linotype" w:eastAsia="Times New Roman"/>
                <w:bCs/>
                <w:color w:val="000000"/>
                <w:sz w:val="27"/>
                <w:szCs w:val="27"/>
                <w:lang w:val="sr-Cyrl-RS"/>
              </w:rPr>
              <w:t>ова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w:t>
            </w:r>
            <w:r>
              <w:rPr>
                <w:rFonts w:ascii="Palatino Linotype" w:hAnsi="Palatino Linotype" w:eastAsia="Times New Roman"/>
                <w:b/>
                <w:bCs/>
                <w:color w:val="000000"/>
                <w:sz w:val="27"/>
                <w:szCs w:val="27"/>
                <w:lang w:val="sr-Cyrl-RS"/>
              </w:rPr>
              <w:t>ј</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2"/>
              </w:numPr>
              <w:ind w:right="708"/>
              <w:contextualSpacing/>
              <w:jc w:val="both"/>
              <w:rPr>
                <w:rStyle w:val="18"/>
              </w:rPr>
            </w:pPr>
            <w:r>
              <w:rPr>
                <w:rFonts w:ascii="Palatino Linotype" w:hAnsi="Palatino Linotype"/>
                <w:b/>
                <w:bCs/>
                <w:color w:val="000000"/>
                <w:sz w:val="27"/>
                <w:szCs w:val="27"/>
              </w:rPr>
              <w:tab/>
            </w:r>
            <w:r>
              <w:rPr>
                <w:color w:val="000000"/>
                <w:spacing w:val="4"/>
                <w:shd w:val="clear" w:color="auto" w:fill="FCFCFC"/>
              </w:rPr>
              <w:t>Virijević K., Grujić J., Kokanović M., Nikolić D., Živanović M., Filipović N. Electrospinning and Electrospun Nanofibrous Materials – Promising Scaffolds in Tissue Engineering. CMBEBIH 2021. IFMBE Proceedings, vol 84., pp </w:t>
            </w:r>
            <w:r>
              <w:rPr>
                <w:color w:val="333333"/>
                <w:spacing w:val="4"/>
                <w:shd w:val="clear" w:color="auto" w:fill="FCFCFC"/>
              </w:rPr>
              <w:t>726-733</w:t>
            </w:r>
            <w:r>
              <w:rPr>
                <w:color w:val="222222"/>
                <w:shd w:val="clear" w:color="auto" w:fill="FFFFFF"/>
              </w:rPr>
              <w:t>, </w:t>
            </w:r>
            <w:r>
              <w:rPr>
                <w:color w:val="000000"/>
                <w:spacing w:val="4"/>
                <w:shd w:val="clear" w:color="auto" w:fill="FCFCFC"/>
              </w:rPr>
              <w:t>Springer, Cham. </w:t>
            </w:r>
            <w:r>
              <w:fldChar w:fldCharType="begin"/>
            </w:r>
            <w:r>
              <w:instrText xml:space="preserve"> HYPERLINK "https://doi.org/10.1007/978-3-030-73909-6_82" \t "_blank" </w:instrText>
            </w:r>
            <w:r>
              <w:fldChar w:fldCharType="separate"/>
            </w:r>
            <w:r>
              <w:rPr>
                <w:rStyle w:val="18"/>
                <w:spacing w:val="4"/>
                <w:shd w:val="clear" w:color="auto" w:fill="FCFCFC"/>
              </w:rPr>
              <w:t>https://doi.org/10.1007/978-3-030-73909-6_82</w:t>
            </w:r>
            <w:r>
              <w:rPr>
                <w:rStyle w:val="18"/>
                <w:spacing w:val="4"/>
                <w:shd w:val="clear" w:color="auto" w:fill="FCFCFC"/>
              </w:rPr>
              <w:fldChar w:fldCharType="end"/>
            </w:r>
            <w:r>
              <w:rPr>
                <w:rStyle w:val="18"/>
                <w:spacing w:val="4"/>
                <w:shd w:val="clear" w:color="auto" w:fill="FCFCFC"/>
                <w:lang w:val="sr-Cyrl-RS"/>
              </w:rPr>
              <w:t xml:space="preserve">. </w:t>
            </w:r>
          </w:p>
          <w:p>
            <w:pPr>
              <w:pStyle w:val="51"/>
              <w:numPr>
                <w:ilvl w:val="0"/>
                <w:numId w:val="2"/>
              </w:numPr>
              <w:ind w:right="708"/>
              <w:contextualSpacing/>
              <w:jc w:val="both"/>
            </w:pPr>
            <w:r>
              <w:t xml:space="preserve">Šeklić D, Jovanović M, Virijević K, Grujić J, Živanović M, Marković S. Effects of Edible Mushrooms </w:t>
            </w:r>
            <w:r>
              <w:rPr>
                <w:i/>
                <w:iCs/>
              </w:rPr>
              <w:t>Phellinus linteus</w:t>
            </w:r>
            <w:r>
              <w:t xml:space="preserve"> and </w:t>
            </w:r>
            <w:r>
              <w:rPr>
                <w:i/>
                <w:iCs/>
              </w:rPr>
              <w:t>Lentinus edodes</w:t>
            </w:r>
            <w:r>
              <w:t xml:space="preserve"> Methanol Extracts on Colorectal Cancer Cell Lines. Food Chemistry and Biochemistry, 2021. </w:t>
            </w:r>
            <w:r>
              <w:fldChar w:fldCharType="begin"/>
            </w:r>
            <w:r>
              <w:instrText xml:space="preserve"> HYPERLINK "https://doi.org/10.3390/Foods2021-11055" </w:instrText>
            </w:r>
            <w:r>
              <w:fldChar w:fldCharType="separate"/>
            </w:r>
            <w:r>
              <w:rPr>
                <w:rStyle w:val="18"/>
              </w:rPr>
              <w:t>https://doi.org/10.3390/Foods2021-11055</w:t>
            </w:r>
            <w:r>
              <w:rPr>
                <w:rStyle w:val="18"/>
              </w:rPr>
              <w:fldChar w:fldCharType="end"/>
            </w:r>
            <w:r>
              <w:rPr>
                <w:rStyle w:val="18"/>
                <w:lang w:val="sr-Cyrl-RS"/>
              </w:rPr>
              <w:t>.</w:t>
            </w:r>
            <w:r>
              <w:rPr>
                <w:lang w:val="sr-Cyrl-RS"/>
              </w:rPr>
              <w:t xml:space="preserve">  </w:t>
            </w:r>
          </w:p>
          <w:p>
            <w:pPr>
              <w:pStyle w:val="51"/>
              <w:numPr>
                <w:ilvl w:val="0"/>
                <w:numId w:val="2"/>
              </w:numPr>
              <w:ind w:right="708"/>
              <w:contextualSpacing/>
              <w:jc w:val="both"/>
            </w:pPr>
            <w:r>
              <w:t xml:space="preserve">Jovanović M, Virijević K, Grujić J, Šeklić D. Extract of Edible Mushroom Laetiporus sulphureus Affects Redox Status and Motility of Colorectal and Cervical Cancer Cell Lines. Food Chemistry and Biochemistry, 2021. </w:t>
            </w:r>
            <w:r>
              <w:fldChar w:fldCharType="begin"/>
            </w:r>
            <w:r>
              <w:instrText xml:space="preserve"> HYPERLINK "https://doi.org/10.3390/Foods2021-11028" </w:instrText>
            </w:r>
            <w:r>
              <w:fldChar w:fldCharType="separate"/>
            </w:r>
            <w:r>
              <w:rPr>
                <w:rStyle w:val="18"/>
              </w:rPr>
              <w:t>https://doi.org/10.3390/Foods2021-11028</w:t>
            </w:r>
            <w:r>
              <w:rPr>
                <w:rStyle w:val="18"/>
              </w:rPr>
              <w:fldChar w:fldCharType="end"/>
            </w:r>
            <w:r>
              <w:rPr>
                <w:rStyle w:val="18"/>
                <w:lang w:val="sr-Cyrl-RS"/>
              </w:rPr>
              <w:t>.</w:t>
            </w:r>
            <w:r>
              <w:rPr>
                <w:lang w:val="sr-Cyrl-RS"/>
              </w:rPr>
              <w:t xml:space="preserve"> </w:t>
            </w:r>
          </w:p>
          <w:p>
            <w:pPr>
              <w:pStyle w:val="51"/>
              <w:numPr>
                <w:ilvl w:val="0"/>
                <w:numId w:val="2"/>
              </w:numPr>
              <w:spacing w:after="160" w:line="256" w:lineRule="auto"/>
              <w:contextualSpacing/>
              <w:rPr>
                <w:rFonts w:ascii="Palatino Linotype" w:hAnsi="Palatino Linotype"/>
              </w:rPr>
            </w:pPr>
            <w:r>
              <w:rPr>
                <w:rFonts w:ascii="Palatino Linotype" w:hAnsi="Palatino Linotype"/>
              </w:rPr>
              <w:t>Pavic J, Zivanovic M, Virijevic K, Kastratovic N, Miric A, Zivanovic M, Tanaskovic I, Filipovic N. Examination of gene expression of molecular mechanisms of migration, apoptosis and redox status of colorectal carcionoma cells. First Serbian International Conference on Applied Artificial Intelligence (SICAAI), Kragujevac, Serbia, May 19th – 20th 2022.</w:t>
            </w:r>
          </w:p>
          <w:p>
            <w:pPr>
              <w:pStyle w:val="51"/>
              <w:numPr>
                <w:ilvl w:val="0"/>
                <w:numId w:val="2"/>
              </w:numPr>
              <w:spacing w:after="160" w:line="256" w:lineRule="auto"/>
              <w:contextualSpacing/>
              <w:rPr>
                <w:rFonts w:ascii="Palatino Linotype" w:hAnsi="Palatino Linotype"/>
              </w:rPr>
            </w:pPr>
            <w:r>
              <w:rPr>
                <w:rFonts w:ascii="Palatino Linotype" w:hAnsi="Palatino Linotype"/>
              </w:rPr>
              <w:t>Miric A, Pavic J, Benolic L, Nikolic D, Milivojevic N, Zivanovic M, Tanaskovic I, Filipovic N. Controlled drug release from a 3D pronted tablet. First Serbian International Conference on Applied Artificial Intelligence (SICAAI), Kragujevac, Serbia, May 19th – 20th 2022.</w:t>
            </w:r>
          </w:p>
          <w:p>
            <w:pPr>
              <w:pStyle w:val="51"/>
              <w:numPr>
                <w:ilvl w:val="0"/>
                <w:numId w:val="2"/>
              </w:numPr>
              <w:ind w:right="708"/>
              <w:contextualSpacing/>
              <w:jc w:val="both"/>
              <w:rPr>
                <w:rFonts w:ascii="Palatino Linotype" w:hAnsi="Palatino Linotype"/>
              </w:rPr>
            </w:pPr>
            <w:r>
              <w:rPr>
                <w:rFonts w:ascii="Palatino Linotype" w:hAnsi="Palatino Linotype"/>
              </w:rPr>
              <w:t xml:space="preserve">Pecić, K.; Jovanović, M.; Arsenijević, D.; Pavić, J.; Grujović, M.; Mladenović, K.; Virijević, K.; Živanović, M.; Šeklić, D. Laetiporus sulphureus affects migration and superoxide anion radical levels in HeLa cervical cancer cells. Biology and life sciences forum. 2022, 18(1); 6. </w:t>
            </w:r>
            <w:r>
              <w:fldChar w:fldCharType="begin"/>
            </w:r>
            <w:r>
              <w:instrText xml:space="preserve"> HYPERLINK "https://doi.org/10.3390/Foods2022-12933" </w:instrText>
            </w:r>
            <w:r>
              <w:fldChar w:fldCharType="separate"/>
            </w:r>
            <w:r>
              <w:rPr>
                <w:rStyle w:val="18"/>
                <w:rFonts w:ascii="Palatino Linotype" w:hAnsi="Palatino Linotype"/>
              </w:rPr>
              <w:t>https://doi.org/10.3390/Foods2022-12933</w:t>
            </w:r>
            <w:r>
              <w:rPr>
                <w:rStyle w:val="18"/>
                <w:rFonts w:ascii="Palatino Linotype" w:hAnsi="Palatino Linotype"/>
              </w:rPr>
              <w:fldChar w:fldCharType="end"/>
            </w:r>
          </w:p>
          <w:p>
            <w:pPr>
              <w:pStyle w:val="51"/>
              <w:numPr>
                <w:ilvl w:val="0"/>
                <w:numId w:val="2"/>
              </w:numPr>
              <w:ind w:right="708"/>
              <w:contextualSpacing/>
              <w:jc w:val="both"/>
              <w:rPr>
                <w:rFonts w:ascii="Palatino Linotype" w:hAnsi="Palatino Linotype"/>
              </w:rPr>
            </w:pPr>
            <w:r>
              <w:rPr>
                <w:rFonts w:ascii="Palatino Linotype" w:hAnsi="Palatino Linotype"/>
              </w:rPr>
              <w:t>Virijević К, Marković B, Grujić J, Jovanović M, Kastratović N, Živanović M, Nikolić D, Filipović N. Chitosan-poly(lactic acid) electrospun nanofibers for wound healing application. 3rd International Electronic Conference on Applied Sciences, Applied Biosciences and Bioengineering.</w:t>
            </w:r>
          </w:p>
          <w:p>
            <w:pPr>
              <w:pStyle w:val="51"/>
              <w:numPr>
                <w:ilvl w:val="0"/>
                <w:numId w:val="2"/>
              </w:numPr>
              <w:ind w:right="708"/>
              <w:contextualSpacing/>
              <w:jc w:val="both"/>
              <w:rPr>
                <w:rFonts w:ascii="Palatino Linotype" w:hAnsi="Palatino Linotype"/>
              </w:rPr>
            </w:pPr>
            <w:r>
              <w:rPr>
                <w:rFonts w:ascii="Palatino Linotype" w:hAnsi="Palatino Linotype"/>
              </w:rPr>
              <w:t>Jovanović M, Virijević К, Grujić J, Arsenijević D, Pecić K, Kastratović N, Živanović M, Šeklić D. Antimigratory activity of royal jelly on hct-116 colorectal cancer cells. The 3rd International Electronic Conference on Foods: Food, Microbiome, and Health, Nutraceuticals and Functional Foods.</w:t>
            </w:r>
          </w:p>
          <w:p>
            <w:pPr>
              <w:pStyle w:val="51"/>
              <w:numPr>
                <w:ilvl w:val="0"/>
                <w:numId w:val="2"/>
              </w:numPr>
              <w:ind w:right="708"/>
              <w:contextualSpacing/>
              <w:jc w:val="both"/>
            </w:pPr>
            <w:r>
              <w:t>Mihajlović Kristina, Marjanović Jovana,Divac Vera, Kostić Marina, Virijević Katarina , Grujić Jelena, Živanović Marko. Cytotoxicity and Redox Properties of Cyclic Ethers Derived From Terpenic Alcohols. 2021</w:t>
            </w:r>
            <w:r>
              <w:rPr>
                <w:lang w:val="sr-Cyrl-RS"/>
              </w:rPr>
              <w:t xml:space="preserve">. </w:t>
            </w:r>
          </w:p>
          <w:p>
            <w:pPr>
              <w:pStyle w:val="51"/>
              <w:numPr>
                <w:ilvl w:val="0"/>
                <w:numId w:val="2"/>
              </w:numPr>
              <w:spacing w:after="160" w:line="256" w:lineRule="auto"/>
              <w:contextualSpacing/>
            </w:pPr>
            <w:r>
              <w:t>Katarina Virijević, Jelena Grujić, Milena Jovanović, Nikolina Kastratović, Ana Mirić, Dalibor Nikolić, Marko Živanović, Nenad Filipović. Electrospun gelatine nanofibrous scaffolds – applications in tissue engineering. 1st International Conference on Chemo and Bioinformatics, 26–27 October 2021, Kragujevac, Serbia; Book of Proceedings, p. 251-254 doi:10.46793/ICCBI21.251V</w:t>
            </w:r>
          </w:p>
          <w:p>
            <w:pPr>
              <w:pStyle w:val="51"/>
              <w:numPr>
                <w:ilvl w:val="0"/>
                <w:numId w:val="2"/>
              </w:numPr>
              <w:spacing w:after="160" w:line="256" w:lineRule="auto"/>
              <w:contextualSpacing/>
            </w:pPr>
            <w:r>
              <w:t>Jovanović MM, Virijević K, Grujić J, Živanović M, Šeklić DS: Extract of Edible Mushroom Laetiporus sulphureus Affects the Redox Status and Motility of Colorectal and Cervical Cancer Cell Lines, Biology and Life Sciences Forum, 2021, 6(1):82. https://doi.org/10.3390/Foods2021-11028</w:t>
            </w:r>
          </w:p>
          <w:p>
            <w:pPr>
              <w:pStyle w:val="51"/>
              <w:numPr>
                <w:ilvl w:val="0"/>
                <w:numId w:val="2"/>
              </w:numPr>
              <w:spacing w:line="276" w:lineRule="auto"/>
              <w:contextualSpacing/>
              <w:jc w:val="both"/>
              <w:rPr>
                <w:lang w:val="sr-Cyrl-RS"/>
              </w:rPr>
            </w:pPr>
            <w:r>
              <w:rPr>
                <w:lang w:val="sr-Cyrl-RS"/>
              </w:rPr>
              <w:t xml:space="preserve">Mladenovic TM, Živanović MN, Benolić L, </w:t>
            </w:r>
            <w:r>
              <w:rPr>
                <w:b/>
                <w:bCs/>
                <w:lang w:val="sr-Cyrl-RS"/>
              </w:rPr>
              <w:t>Pavić JN.</w:t>
            </w:r>
            <w:r>
              <w:rPr>
                <w:lang w:val="sr-Cyrl-RS"/>
              </w:rPr>
              <w:t xml:space="preserve"> genetic programming approach in better understanding of the relationship between the number of viable cells and concentration of o2-, no2- and gsh produced in cancer cells treated with pd(ii) complexes. 2nd Serbian International Conference on Applied Artificial Intelligence (SICAAI), Kragujevac, Serbia, May 19-20, 2023</w:t>
            </w:r>
          </w:p>
          <w:p>
            <w:pPr>
              <w:pStyle w:val="51"/>
              <w:numPr>
                <w:ilvl w:val="0"/>
                <w:numId w:val="2"/>
              </w:numPr>
              <w:spacing w:after="160" w:line="256" w:lineRule="auto"/>
              <w:contextualSpacing/>
            </w:pPr>
            <w:r>
              <w:t xml:space="preserve">Zdravković N, Zivanović MN, Kastratović N, Grujić J, Virijević K, Nikolić D, и остали. USE OF 3D-BIOPRINTING IN TISSUE ENGINEERING SCAFFOLD PRODUCTION. CM [Интернет]. 27. Јуни 2023. [цитирано 29. Децембар 2023.];14(1). Available at: </w:t>
            </w:r>
            <w:r>
              <w:fldChar w:fldCharType="begin"/>
            </w:r>
            <w:r>
              <w:instrText xml:space="preserve"> HYPERLINK "https://doisrpska.nub.rs/index.php/conterporarymaterials3-1/article/view/9738" </w:instrText>
            </w:r>
            <w:r>
              <w:fldChar w:fldCharType="separate"/>
            </w:r>
            <w:r>
              <w:rPr>
                <w:rStyle w:val="18"/>
              </w:rPr>
              <w:t>https://doisrpska.nub.rs/index.php/conterporarymaterials3-1/article/view/9738</w:t>
            </w:r>
            <w:r>
              <w:rPr>
                <w:rStyle w:val="18"/>
              </w:rPr>
              <w:fldChar w:fldCharType="end"/>
            </w:r>
          </w:p>
          <w:p>
            <w:pPr>
              <w:pStyle w:val="51"/>
              <w:numPr>
                <w:ilvl w:val="0"/>
                <w:numId w:val="2"/>
              </w:numPr>
              <w:ind w:right="708"/>
              <w:contextualSpacing/>
              <w:jc w:val="both"/>
            </w:pPr>
            <w:r>
              <w:t>Katarina Virijević, Jelena Grujić, Mihajlo Kokanović, Nevena Milivojević, Marko</w:t>
            </w:r>
            <w:r>
              <w:rPr>
                <w:lang w:val="sr-Cyrl-RS"/>
              </w:rPr>
              <w:t xml:space="preserve"> </w:t>
            </w:r>
            <w:r>
              <w:t>N Živanović, and Nenad Filipović. Optimization of Parameters for Preparing Gelatine</w:t>
            </w:r>
            <w:r>
              <w:rPr>
                <w:lang w:val="sr-Cyrl-RS"/>
              </w:rPr>
              <w:t xml:space="preserve"> </w:t>
            </w:r>
            <w:r>
              <w:t>Electrospun Microfibers. 3- th Belgrade Bioinformatics Conference, BelBI June 21-25,</w:t>
            </w:r>
            <w:r>
              <w:rPr>
                <w:lang w:val="sr-Cyrl-RS"/>
              </w:rPr>
              <w:t xml:space="preserve"> </w:t>
            </w:r>
            <w:r>
              <w:t>2021</w:t>
            </w:r>
            <w:r>
              <w:rPr>
                <w:lang w:val="sr-Cyrl-RS"/>
              </w:rPr>
              <w:t>. М 34</w:t>
            </w:r>
          </w:p>
          <w:p>
            <w:pPr>
              <w:pStyle w:val="51"/>
              <w:spacing w:after="160" w:line="256" w:lineRule="auto"/>
              <w:contextualSpacing/>
            </w:pPr>
          </w:p>
          <w:p>
            <w:pPr>
              <w:tabs>
                <w:tab w:val="left" w:pos="2040"/>
              </w:tabs>
              <w:spacing w:after="0" w:line="240" w:lineRule="auto"/>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40</w:t>
            </w:r>
          </w:p>
          <w:p>
            <w:pPr>
              <w:spacing w:after="0" w:line="240" w:lineRule="auto"/>
              <w:rPr>
                <w:rFonts w:ascii="Palatino Linotype" w:hAnsi="Palatino Linotype" w:eastAsia="Times New Roman"/>
                <w:bCs/>
                <w:color w:val="000000"/>
                <w:sz w:val="27"/>
                <w:szCs w:val="27"/>
              </w:rPr>
            </w:pPr>
            <w:r>
              <w:rPr>
                <w:rFonts w:ascii="Palatino Linotype" w:hAnsi="Palatino Linotype" w:eastAsia="Times New Roman"/>
                <w:bCs/>
                <w:color w:val="000000"/>
                <w:sz w:val="27"/>
                <w:szCs w:val="27"/>
                <w:lang w:val="sr-Cyrl-RS"/>
              </w:rPr>
              <w:t>Монографије националног значаја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w:t>
            </w:r>
            <w:r>
              <w:rPr>
                <w:rFonts w:ascii="Palatino Linotype" w:hAnsi="Palatino Linotype" w:eastAsia="Times New Roman"/>
                <w:b/>
                <w:bCs/>
                <w:color w:val="000000"/>
                <w:sz w:val="27"/>
                <w:szCs w:val="27"/>
                <w:lang w:val="sr-Cyrl-RS"/>
              </w:rPr>
              <w:t>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Рад у часопис</w:t>
            </w:r>
            <w:r>
              <w:rPr>
                <w:rFonts w:ascii="Palatino Linotype" w:hAnsi="Palatino Linotype" w:eastAsia="Times New Roman"/>
                <w:bCs/>
                <w:color w:val="000000"/>
                <w:sz w:val="27"/>
                <w:szCs w:val="27"/>
                <w:lang w:val="sr-Cyrl-RS"/>
              </w:rPr>
              <w:t>има</w:t>
            </w:r>
            <w:r>
              <w:rPr>
                <w:rFonts w:ascii="Palatino Linotype" w:hAnsi="Palatino Linotype" w:eastAsia="Times New Roman"/>
                <w:bCs/>
                <w:color w:val="000000"/>
                <w:sz w:val="27"/>
                <w:szCs w:val="27"/>
              </w:rPr>
              <w:t xml:space="preserve"> националног значаја-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М60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rPr>
              <w:t>Предавања по позиву на скуповима националног значаја- обавезно навести категорију</w:t>
            </w:r>
          </w:p>
          <w:p>
            <w:pPr>
              <w:spacing w:after="0" w:line="240" w:lineRule="auto"/>
              <w:jc w:val="both"/>
              <w:rPr>
                <w:rFonts w:ascii="Palatino Linotype" w:hAnsi="Palatino Linotype" w:eastAsia="Times New Roman"/>
                <w:bCs/>
                <w:kern w:val="36"/>
                <w:sz w:val="27"/>
                <w:szCs w:val="27"/>
                <w:lang w:val="sr-Latn-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80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Техничка решења</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Списак резултата М</w:t>
            </w:r>
            <w:r>
              <w:rPr>
                <w:rFonts w:ascii="Palatino Linotype" w:hAnsi="Palatino Linotype" w:eastAsia="Times New Roman"/>
                <w:b/>
                <w:bCs/>
                <w:color w:val="000000"/>
                <w:sz w:val="27"/>
                <w:szCs w:val="27"/>
                <w:lang w:val="sr-Cyrl-RS"/>
              </w:rPr>
              <w:t>90</w:t>
            </w:r>
            <w:r>
              <w:rPr>
                <w:rFonts w:ascii="Palatino Linotype" w:hAnsi="Palatino Linotype" w:eastAsia="Times New Roman"/>
                <w:b/>
                <w:bCs/>
                <w:color w:val="000000"/>
                <w:sz w:val="27"/>
                <w:szCs w:val="27"/>
              </w:rPr>
              <w:br w:type="textWrapping"/>
            </w:r>
            <w:r>
              <w:rPr>
                <w:rFonts w:ascii="Palatino Linotype" w:hAnsi="Palatino Linotype" w:eastAsia="Times New Roman"/>
                <w:bCs/>
                <w:color w:val="000000"/>
                <w:sz w:val="27"/>
                <w:szCs w:val="27"/>
                <w:lang w:val="sr-Cyrl-RS"/>
              </w:rPr>
              <w:t>Патенти</w:t>
            </w:r>
            <w:r>
              <w:rPr>
                <w:rFonts w:ascii="Palatino Linotype" w:hAnsi="Palatino Linotype" w:eastAsia="Times New Roman"/>
                <w:bCs/>
                <w:color w:val="000000"/>
                <w:sz w:val="27"/>
                <w:szCs w:val="27"/>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w:t>
      </w:r>
      <w:r>
        <w:rPr>
          <w:rFonts w:ascii="Palatino Linotype" w:hAnsi="Palatino Linotype" w:eastAsia="Times New Roman"/>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ЦИТИРАНОСТ НАУЧНИХ РАДОВА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КРАТАК ОПИС ИСТРЖИВАЊА У ПРЕТХОДНОМ ПЕРИОДУ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Cyrl-RS"/>
              </w:rPr>
            </w:pPr>
          </w:p>
        </w:tc>
      </w:tr>
    </w:tbl>
    <w:p>
      <w:pPr>
        <w:spacing w:line="240" w:lineRule="auto"/>
        <w:jc w:val="both"/>
        <w:rPr>
          <w:rFonts w:ascii="Palatino Linotype" w:hAnsi="Palatino Linotype"/>
          <w:sz w:val="27"/>
          <w:szCs w:val="27"/>
          <w:lang w:val="sr-Cyrl-RS"/>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2">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2141C"/>
    <w:multiLevelType w:val="multilevel"/>
    <w:tmpl w:val="3A12141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C171E2"/>
    <w:multiLevelType w:val="multilevel"/>
    <w:tmpl w:val="40C171E2"/>
    <w:lvl w:ilvl="0" w:tentative="0">
      <w:start w:val="1"/>
      <w:numFmt w:val="decimal"/>
      <w:lvlText w:val="%1."/>
      <w:lvlJc w:val="left"/>
      <w:pPr>
        <w:ind w:left="720" w:hanging="360"/>
      </w:pPr>
      <w:rPr>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105AFE"/>
    <w:rsid w:val="00107A36"/>
    <w:rsid w:val="00114A44"/>
    <w:rsid w:val="001337C9"/>
    <w:rsid w:val="00146ABA"/>
    <w:rsid w:val="001477D2"/>
    <w:rsid w:val="0016454F"/>
    <w:rsid w:val="00171B7D"/>
    <w:rsid w:val="001D160F"/>
    <w:rsid w:val="001D6CAC"/>
    <w:rsid w:val="001E5AA1"/>
    <w:rsid w:val="001E6704"/>
    <w:rsid w:val="001F0C54"/>
    <w:rsid w:val="002010AC"/>
    <w:rsid w:val="00211FE1"/>
    <w:rsid w:val="00233D73"/>
    <w:rsid w:val="00247977"/>
    <w:rsid w:val="00251F57"/>
    <w:rsid w:val="00255F5D"/>
    <w:rsid w:val="00265D8C"/>
    <w:rsid w:val="00280B81"/>
    <w:rsid w:val="00284D12"/>
    <w:rsid w:val="002C1712"/>
    <w:rsid w:val="002D034D"/>
    <w:rsid w:val="003342EC"/>
    <w:rsid w:val="00366152"/>
    <w:rsid w:val="0036758C"/>
    <w:rsid w:val="00375395"/>
    <w:rsid w:val="003823BE"/>
    <w:rsid w:val="003827C9"/>
    <w:rsid w:val="003A2AF3"/>
    <w:rsid w:val="003B7F67"/>
    <w:rsid w:val="003C1EED"/>
    <w:rsid w:val="003D1283"/>
    <w:rsid w:val="003D5330"/>
    <w:rsid w:val="003E61AE"/>
    <w:rsid w:val="003F054C"/>
    <w:rsid w:val="003F2CE1"/>
    <w:rsid w:val="0040396B"/>
    <w:rsid w:val="004071AF"/>
    <w:rsid w:val="004332AB"/>
    <w:rsid w:val="0045742B"/>
    <w:rsid w:val="004825B8"/>
    <w:rsid w:val="0048687E"/>
    <w:rsid w:val="004A1099"/>
    <w:rsid w:val="004A3769"/>
    <w:rsid w:val="004C4682"/>
    <w:rsid w:val="004D5CA1"/>
    <w:rsid w:val="004F5821"/>
    <w:rsid w:val="00521A78"/>
    <w:rsid w:val="0053222B"/>
    <w:rsid w:val="00544DB9"/>
    <w:rsid w:val="00551F43"/>
    <w:rsid w:val="005902A1"/>
    <w:rsid w:val="00591719"/>
    <w:rsid w:val="005D1E08"/>
    <w:rsid w:val="005E4DB5"/>
    <w:rsid w:val="005F62DD"/>
    <w:rsid w:val="00603377"/>
    <w:rsid w:val="006632DC"/>
    <w:rsid w:val="006A25D1"/>
    <w:rsid w:val="006E40C4"/>
    <w:rsid w:val="0071287E"/>
    <w:rsid w:val="007247F3"/>
    <w:rsid w:val="00734C19"/>
    <w:rsid w:val="0074136D"/>
    <w:rsid w:val="00752E96"/>
    <w:rsid w:val="00777C95"/>
    <w:rsid w:val="00790188"/>
    <w:rsid w:val="007D21B1"/>
    <w:rsid w:val="007D785C"/>
    <w:rsid w:val="00823A68"/>
    <w:rsid w:val="00842BBD"/>
    <w:rsid w:val="00860043"/>
    <w:rsid w:val="0086624D"/>
    <w:rsid w:val="008B0E5F"/>
    <w:rsid w:val="008B7269"/>
    <w:rsid w:val="008C1348"/>
    <w:rsid w:val="008D47DA"/>
    <w:rsid w:val="008E2A10"/>
    <w:rsid w:val="008E381B"/>
    <w:rsid w:val="008F2E37"/>
    <w:rsid w:val="00910BF1"/>
    <w:rsid w:val="00920865"/>
    <w:rsid w:val="00927931"/>
    <w:rsid w:val="00930A9D"/>
    <w:rsid w:val="00932170"/>
    <w:rsid w:val="00933C0A"/>
    <w:rsid w:val="00934E12"/>
    <w:rsid w:val="009500FA"/>
    <w:rsid w:val="00954B8D"/>
    <w:rsid w:val="00955CBA"/>
    <w:rsid w:val="009634EA"/>
    <w:rsid w:val="00984FD1"/>
    <w:rsid w:val="009912AD"/>
    <w:rsid w:val="009922D8"/>
    <w:rsid w:val="00993D97"/>
    <w:rsid w:val="009C51EE"/>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D367F"/>
    <w:rsid w:val="00C141B8"/>
    <w:rsid w:val="00C2412B"/>
    <w:rsid w:val="00C41F9D"/>
    <w:rsid w:val="00C436BF"/>
    <w:rsid w:val="00C671C1"/>
    <w:rsid w:val="00C819A6"/>
    <w:rsid w:val="00C96AA5"/>
    <w:rsid w:val="00CB3899"/>
    <w:rsid w:val="00CD15E8"/>
    <w:rsid w:val="00CD7D6B"/>
    <w:rsid w:val="00CE16CD"/>
    <w:rsid w:val="00CF5DE0"/>
    <w:rsid w:val="00D000EE"/>
    <w:rsid w:val="00D1781E"/>
    <w:rsid w:val="00D45E8E"/>
    <w:rsid w:val="00D54F08"/>
    <w:rsid w:val="00DA4AD0"/>
    <w:rsid w:val="00DB4D50"/>
    <w:rsid w:val="00DC29D5"/>
    <w:rsid w:val="00DD5301"/>
    <w:rsid w:val="00DE1982"/>
    <w:rsid w:val="00DE791F"/>
    <w:rsid w:val="00E0134F"/>
    <w:rsid w:val="00E039F1"/>
    <w:rsid w:val="00E26F93"/>
    <w:rsid w:val="00E52817"/>
    <w:rsid w:val="00EE4068"/>
    <w:rsid w:val="00F03FAB"/>
    <w:rsid w:val="00F110A9"/>
    <w:rsid w:val="00F20865"/>
    <w:rsid w:val="00F31971"/>
    <w:rsid w:val="00F3474F"/>
    <w:rsid w:val="00F60FA6"/>
    <w:rsid w:val="00F727B6"/>
    <w:rsid w:val="00F73463"/>
    <w:rsid w:val="00F76682"/>
    <w:rsid w:val="00F7717D"/>
    <w:rsid w:val="00F83A74"/>
    <w:rsid w:val="00FA4F49"/>
    <w:rsid w:val="00FD1801"/>
    <w:rsid w:val="00FE35A8"/>
    <w:rsid w:val="00FF2C0E"/>
    <w:rsid w:val="00FF3487"/>
    <w:rsid w:val="0AFB6E47"/>
    <w:rsid w:val="3B2A28F6"/>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qFormat/>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qFormat/>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uiPriority w:val="0"/>
    <w:rPr>
      <w:rFonts w:ascii="Calibri Light" w:hAnsi="Calibri Light" w:eastAsia="Times New Roman"/>
      <w:b/>
      <w:bCs/>
      <w:sz w:val="26"/>
      <w:szCs w:val="26"/>
      <w:lang w:val="en-US" w:eastAsia="en-US"/>
    </w:rPr>
  </w:style>
  <w:style w:type="character" w:customStyle="1" w:styleId="27">
    <w:name w:val="Comment Text Char"/>
    <w:basedOn w:val="5"/>
    <w:semiHidden/>
    <w:uiPriority w:val="99"/>
    <w:rPr>
      <w:lang w:val="en-US" w:eastAsia="en-US"/>
    </w:rPr>
  </w:style>
  <w:style w:type="character" w:customStyle="1" w:styleId="28">
    <w:name w:val="Balloon Text Char"/>
    <w:basedOn w:val="5"/>
    <w:link w:val="7"/>
    <w:semiHidden/>
    <w:qFormat/>
    <w:uiPriority w:val="99"/>
    <w:rPr>
      <w:rFonts w:ascii="Tahoma" w:hAnsi="Tahoma" w:eastAsia="Times New Roman" w:cs="Tahoma"/>
      <w:sz w:val="16"/>
      <w:szCs w:val="16"/>
      <w:lang w:val="en-US" w:eastAsia="en-US"/>
    </w:rPr>
  </w:style>
  <w:style w:type="character" w:customStyle="1" w:styleId="29">
    <w:name w:val="hps"/>
    <w:basedOn w:val="5"/>
    <w:uiPriority w:val="0"/>
  </w:style>
  <w:style w:type="paragraph" w:customStyle="1" w:styleId="30">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qFormat/>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qFormat/>
    <w:uiPriority w:val="0"/>
  </w:style>
  <w:style w:type="character" w:customStyle="1" w:styleId="35">
    <w:name w:val="label"/>
    <w:basedOn w:val="5"/>
    <w:qFormat/>
    <w:uiPriority w:val="0"/>
  </w:style>
  <w:style w:type="paragraph" w:customStyle="1" w:styleId="36">
    <w:name w:val="Default"/>
    <w:qForma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qFormat/>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qFormat/>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qFormat/>
    <w:uiPriority w:val="99"/>
    <w:rPr>
      <w:rFonts w:ascii="Times New Roman" w:hAnsi="Times New Roman" w:eastAsia="Times New Roman"/>
      <w:sz w:val="24"/>
      <w:szCs w:val="24"/>
      <w:lang w:val="en-US" w:eastAsia="en-US"/>
    </w:rPr>
  </w:style>
  <w:style w:type="paragraph" w:customStyle="1" w:styleId="42">
    <w:name w:val="Naslov 3"/>
    <w:basedOn w:val="1"/>
    <w:qFormat/>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qFormat/>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qFormat/>
    <w:uiPriority w:val="0"/>
    <w:rPr>
      <w:rFonts w:ascii="Courier New" w:hAnsi="Courier New" w:eastAsia="Times New Roman" w:cs="Courier New"/>
      <w:lang w:val="en-US" w:eastAsia="en-US"/>
    </w:rPr>
  </w:style>
  <w:style w:type="character" w:customStyle="1" w:styleId="45">
    <w:name w:val="apple-converted-space"/>
    <w:basedOn w:val="5"/>
    <w:qFormat/>
    <w:uiPriority w:val="0"/>
  </w:style>
  <w:style w:type="paragraph" w:customStyle="1" w:styleId="46">
    <w:name w:val="Char"/>
    <w:basedOn w:val="1"/>
    <w:qFormat/>
    <w:uiPriority w:val="0"/>
    <w:pPr>
      <w:spacing w:line="240" w:lineRule="exact"/>
    </w:pPr>
    <w:rPr>
      <w:rFonts w:ascii="Verdana" w:hAnsi="Verdana" w:eastAsia="Times New Roman"/>
      <w:sz w:val="20"/>
      <w:szCs w:val="20"/>
    </w:rPr>
  </w:style>
  <w:style w:type="character" w:customStyle="1" w:styleId="47">
    <w:name w:val="short_text"/>
    <w:qForma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qFormat/>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qFormat/>
    <w:uiPriority w:val="99"/>
    <w:pPr>
      <w:spacing w:after="160"/>
    </w:pPr>
    <w:rPr>
      <w:rFonts w:ascii="Calibri" w:hAnsi="Calibri" w:eastAsia="Calibri"/>
      <w:b/>
      <w:bCs/>
      <w:lang w:val="sr-Latn-RS"/>
    </w:rPr>
  </w:style>
  <w:style w:type="character" w:customStyle="1" w:styleId="53">
    <w:name w:val="Comment Subject Char"/>
    <w:link w:val="11"/>
    <w:qFormat/>
    <w:uiPriority w:val="99"/>
    <w:rPr>
      <w:b/>
      <w:bCs/>
    </w:rPr>
  </w:style>
  <w:style w:type="character" w:customStyle="1" w:styleId="54">
    <w:name w:val="Header Char1"/>
    <w:basedOn w:val="5"/>
    <w:link w:val="16"/>
    <w:qFormat/>
    <w:uiPriority w:val="0"/>
    <w:rPr>
      <w:rFonts w:ascii="Times New Roman" w:hAnsi="Times New Roman" w:eastAsia="Times New Roman"/>
      <w:sz w:val="24"/>
      <w:szCs w:val="24"/>
      <w:lang w:val="en-US" w:eastAsia="en-US"/>
    </w:rPr>
  </w:style>
  <w:style w:type="character" w:customStyle="1" w:styleId="55">
    <w:name w:val="Comment Subject Char1"/>
    <w:basedOn w:val="27"/>
    <w:qFormat/>
    <w:uiPriority w:val="0"/>
    <w:rPr>
      <w:b/>
      <w:bCs/>
      <w:lang w:val="en-US" w:eastAsia="en-US"/>
    </w:rPr>
  </w:style>
  <w:style w:type="character" w:customStyle="1" w:styleId="56">
    <w:name w:val="Comment Text Char1"/>
    <w:basedOn w:val="5"/>
    <w:link w:val="10"/>
    <w:semiHidden/>
    <w:qFormat/>
    <w:uiPriority w:val="99"/>
    <w:rPr>
      <w:rFonts w:ascii="Times New Roman" w:hAnsi="Times New Roman" w:eastAsia="Times New Roman"/>
      <w:lang w:val="en-US" w:eastAsia="en-US"/>
    </w:rPr>
  </w:style>
  <w:style w:type="character" w:customStyle="1" w:styleId="57">
    <w:name w:val="text"/>
    <w:qFormat/>
    <w:uiPriority w:val="0"/>
  </w:style>
  <w:style w:type="character" w:customStyle="1" w:styleId="58">
    <w:name w:val="author-ref"/>
    <w:qFormat/>
    <w:uiPriority w:val="0"/>
  </w:style>
  <w:style w:type="character" w:customStyle="1" w:styleId="59">
    <w:name w:val="citation"/>
    <w:qFormat/>
    <w:uiPriority w:val="0"/>
  </w:style>
  <w:style w:type="character" w:customStyle="1" w:styleId="60">
    <w:name w:val="authors__name"/>
    <w:qFormat/>
    <w:uiPriority w:val="0"/>
  </w:style>
  <w:style w:type="character" w:customStyle="1" w:styleId="61">
    <w:name w:val="fontstyle21"/>
    <w:qFormat/>
    <w:uiPriority w:val="0"/>
    <w:rPr>
      <w:rFonts w:hint="default" w:ascii="Cambria" w:hAnsi="Cambria"/>
      <w:b/>
      <w:bCs/>
      <w:i/>
      <w:iCs/>
      <w:color w:val="000000"/>
      <w:sz w:val="18"/>
      <w:szCs w:val="18"/>
    </w:rPr>
  </w:style>
  <w:style w:type="character" w:customStyle="1" w:styleId="62">
    <w:name w:val="jlqj4b"/>
    <w:basedOn w:val="5"/>
    <w:qFormat/>
    <w:uiPriority w:val="0"/>
  </w:style>
  <w:style w:type="character" w:customStyle="1" w:styleId="63">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AB74-D01E-4619-AFF1-0EBBE54DD33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6</Pages>
  <Words>1145</Words>
  <Characters>8445</Characters>
  <Lines>844</Lines>
  <Paragraphs>416</Paragraphs>
  <TotalTime>13</TotalTime>
  <ScaleCrop>false</ScaleCrop>
  <LinksUpToDate>false</LinksUpToDate>
  <CharactersWithSpaces>9174</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2022-11-23T13:53:00Z</dcterms:created>
  <dc:creator>Generalni sekretar</dc:creator>
  <cp:lastModifiedBy>Nenad Janković</cp:lastModifiedBy>
  <dcterms:modified xsi:type="dcterms:W3CDTF">2024-01-03T06:49:41Z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E0537800F7F24CF396AB46BA09B75853_13</vt:lpwstr>
  </property>
  <property fmtid="{D5CDD505-2E9C-101B-9397-08002B2CF9AE}" pid="4" name="GrammarlyDocumentId">
    <vt:lpwstr>1bfce6f277e5764c5e70a3ede950047093b89e66e3d4dbbf84ffc340a4ba4b16</vt:lpwstr>
  </property>
</Properties>
</file>