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4"/>
        <w:gridCol w:w="6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Тамара Младеновић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1993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Јагодина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RS"/>
              </w:rPr>
              <w:t>Истраживач 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tamara.mladenovic@uni.kg.ac.rs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tabs>
                <w:tab w:val="left" w:pos="948"/>
              </w:tabs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6"/>
                <w:szCs w:val="26"/>
              </w:rPr>
              <w:t xml:space="preserve">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  <w:t>Универзитет у Крагујевцу, Институт за информационе технологије, Сектор за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bs-Cyrl-BA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Биологија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bs-Cyrl-BA"/>
              </w:rPr>
              <w:t>Биоинжењеринг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2012-2016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биологију и екологију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2016-2017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 факултет, Институт за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биологију и екологију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5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06.04.2023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  <w:t>Институт за информационе технологије, Крагујевац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BA"/>
              </w:rPr>
              <w:t>Истраживач 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de-DE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de-DE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Списак резултата М10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Монографије, Монографске студије,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М23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 у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Stefanović, O., Vukajlović, F., Mladenović, T., Predojević, D., Čomić, L., &amp;amp; Pešić, S. B. (2020). Antimicrobial activity of Indian meal moth silk, Plodia interpunctella. Current Science, 118(10), 1609.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М33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Саопштење са међународног скупа штампано у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целини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 xml:space="preserve">Matić S.Lj., Mladenović T.M., Mladenović M.P., Tomašević N.M., Capobianco R., Ragno A., Sapienza F.U., Astolfi R., Ragno R., Oxidative DNA damage preventive activity of essential oils of three Pinus species: </w:t>
            </w:r>
            <w:r>
              <w:rPr>
                <w:rFonts w:ascii="Palatino Linotype" w:hAnsi="Palatino Linotype"/>
                <w:i/>
                <w:iCs/>
                <w:color w:val="000000"/>
              </w:rPr>
              <w:t>P. mugo, P. sibirica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</w:rPr>
              <w:t>and P. silvestre</w:t>
            </w:r>
            <w:r>
              <w:rPr>
                <w:rFonts w:ascii="Palatino Linotype" w:hAnsi="Palatino Linotype"/>
                <w:color w:val="000000"/>
              </w:rPr>
              <w:t>, 2nd International Conference of Chemo and Bioinformatics, September 28-29, 2023, Kragujevac, Serbia. doi:10.46793/ICCBI21.427M ISBN 978-86-82172-02-4 COBISS.SR-ID 125908489</w:t>
            </w:r>
          </w:p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>Mladenović M.P., Tomašević N.M., Matić S.Lj., Mladenović T.M., Ragno R., Computer-aided design of new drugs against breast cancer, 2nd International Conference of Chemo and Bioinformatics, September 28-29, 2023, Kragujevac, Serbia. doi:10.46793/ICCBI21.427M ISBN 978-86-82172-02-4 COBISS.SR-ID 125908489</w:t>
            </w:r>
          </w:p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>Mladenovic T., Živanović M., Benolic L., Pavić J., Filipović N. Genetic programming approach in better understanding of the relationship between the number of viable cells and concentration of O2- , NO2- and GSH produced in cancer cells treated with pd(ii) complexes. 2nd Serbian International Conference on Applied Artificial Intelligence (SICAAI), May 19-20, 2023, Kragujevac, Serbia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У оквиру израде докторске дисертације извршена је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синтеза и структурна карактеризација нових фенолних и нефенолних пиразол-хромено[2,3-d]пиримидинских деривата. Такође, извршена су испитивања различитих биолошких особина новосинтетисаних једињења. До сада су извршена испитивања антиоксидативног потенцијала применом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метода и ДНК заштитне активности у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условима против оксидативног оштећења изазваног хидроксил и пероксил радикалима.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У наредном периоду планирана су даља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Latn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и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Latn-RS"/>
              </w:rPr>
              <w:t>in silico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испитивања антиоксидативног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bs-Cyrl-BA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потенцијала и механизама ДНК протективне активности новосинтетисаних пиразол-хромено[2,3-d]пиримидинских деривата у оквиру наставака рада везаног за израду докторске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bs-Cyrl-BA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дисертације.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0138B"/>
    <w:multiLevelType w:val="multilevel"/>
    <w:tmpl w:val="0F60138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06C0"/>
    <w:multiLevelType w:val="multilevel"/>
    <w:tmpl w:val="2D2106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82C72"/>
    <w:rsid w:val="001D160F"/>
    <w:rsid w:val="001D6CAC"/>
    <w:rsid w:val="001E5AA1"/>
    <w:rsid w:val="001E6704"/>
    <w:rsid w:val="001F0C54"/>
    <w:rsid w:val="002010AC"/>
    <w:rsid w:val="002045FE"/>
    <w:rsid w:val="00211FE1"/>
    <w:rsid w:val="002176BD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6152"/>
    <w:rsid w:val="0036758C"/>
    <w:rsid w:val="00375395"/>
    <w:rsid w:val="003827C9"/>
    <w:rsid w:val="003A224F"/>
    <w:rsid w:val="003A2AF3"/>
    <w:rsid w:val="003B7F67"/>
    <w:rsid w:val="003C1EED"/>
    <w:rsid w:val="003C70C1"/>
    <w:rsid w:val="003D1283"/>
    <w:rsid w:val="003D79F3"/>
    <w:rsid w:val="003E61AE"/>
    <w:rsid w:val="003F054C"/>
    <w:rsid w:val="003F2CE1"/>
    <w:rsid w:val="0040396B"/>
    <w:rsid w:val="004071AF"/>
    <w:rsid w:val="004332AB"/>
    <w:rsid w:val="0045742B"/>
    <w:rsid w:val="004702AF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5760D"/>
    <w:rsid w:val="009634EA"/>
    <w:rsid w:val="00984FD1"/>
    <w:rsid w:val="009912AD"/>
    <w:rsid w:val="009922D8"/>
    <w:rsid w:val="00993D97"/>
    <w:rsid w:val="009C51EE"/>
    <w:rsid w:val="009E20E9"/>
    <w:rsid w:val="009F289A"/>
    <w:rsid w:val="009F3C77"/>
    <w:rsid w:val="009F6040"/>
    <w:rsid w:val="009F6B07"/>
    <w:rsid w:val="00A37B9E"/>
    <w:rsid w:val="00A61DD6"/>
    <w:rsid w:val="00A8315A"/>
    <w:rsid w:val="00A83573"/>
    <w:rsid w:val="00AA55F2"/>
    <w:rsid w:val="00AB3A1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B23B8"/>
    <w:rsid w:val="00BC0104"/>
    <w:rsid w:val="00BD367F"/>
    <w:rsid w:val="00BF44A6"/>
    <w:rsid w:val="00C00644"/>
    <w:rsid w:val="00C03874"/>
    <w:rsid w:val="00C141B8"/>
    <w:rsid w:val="00C41F9D"/>
    <w:rsid w:val="00C436BF"/>
    <w:rsid w:val="00C671C1"/>
    <w:rsid w:val="00C819A6"/>
    <w:rsid w:val="00C938AD"/>
    <w:rsid w:val="00C96AA5"/>
    <w:rsid w:val="00CB3899"/>
    <w:rsid w:val="00CD15E8"/>
    <w:rsid w:val="00CD7D6B"/>
    <w:rsid w:val="00CE16CD"/>
    <w:rsid w:val="00CF5DE0"/>
    <w:rsid w:val="00D000EE"/>
    <w:rsid w:val="00D0437B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6619A"/>
    <w:rsid w:val="00ED02DA"/>
    <w:rsid w:val="00ED5D76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83CD0"/>
    <w:rsid w:val="00FA4F49"/>
    <w:rsid w:val="00FD1801"/>
    <w:rsid w:val="00FE35A8"/>
    <w:rsid w:val="00FF2C0E"/>
    <w:rsid w:val="00FF3487"/>
    <w:rsid w:val="6BD66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qFormat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qFormat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uiPriority w:val="99"/>
    <w:rPr>
      <w:sz w:val="20"/>
      <w:szCs w:val="20"/>
    </w:rPr>
  </w:style>
  <w:style w:type="character" w:customStyle="1" w:styleId="23">
    <w:name w:val="fontstyle01"/>
    <w:basedOn w:val="5"/>
    <w:qFormat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qFormat/>
    <w:uiPriority w:val="0"/>
  </w:style>
  <w:style w:type="paragraph" w:customStyle="1" w:styleId="30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qFormat/>
    <w:uiPriority w:val="0"/>
  </w:style>
  <w:style w:type="character" w:customStyle="1" w:styleId="34">
    <w:name w:val="doi"/>
    <w:basedOn w:val="5"/>
    <w:uiPriority w:val="0"/>
  </w:style>
  <w:style w:type="character" w:customStyle="1" w:styleId="35">
    <w:name w:val="label"/>
    <w:basedOn w:val="5"/>
    <w:qFormat/>
    <w:uiPriority w:val="0"/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qFormat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qFormat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qFormat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qFormat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qFormat/>
    <w:uiPriority w:val="0"/>
  </w:style>
  <w:style w:type="paragraph" w:customStyle="1" w:styleId="46">
    <w:name w:val="Char"/>
    <w:basedOn w:val="1"/>
    <w:qFormat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qFormat/>
    <w:uiPriority w:val="0"/>
  </w:style>
  <w:style w:type="paragraph" w:customStyle="1" w:styleId="48">
    <w:name w:val="Header1"/>
    <w:basedOn w:val="1"/>
    <w:next w:val="16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qFormat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qFormat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uiPriority w:val="99"/>
    <w:rPr>
      <w:b/>
      <w:bCs/>
    </w:rPr>
  </w:style>
  <w:style w:type="character" w:customStyle="1" w:styleId="54">
    <w:name w:val="Header Char1"/>
    <w:basedOn w:val="5"/>
    <w:link w:val="16"/>
    <w:qFormat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qFormat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qFormat/>
    <w:uiPriority w:val="0"/>
  </w:style>
  <w:style w:type="character" w:customStyle="1" w:styleId="58">
    <w:name w:val="author-ref"/>
    <w:qFormat/>
    <w:uiPriority w:val="0"/>
  </w:style>
  <w:style w:type="character" w:customStyle="1" w:styleId="59">
    <w:name w:val="citation"/>
    <w:qFormat/>
    <w:uiPriority w:val="0"/>
  </w:style>
  <w:style w:type="character" w:customStyle="1" w:styleId="60">
    <w:name w:val="authors__name"/>
    <w:qFormat/>
    <w:uiPriority w:val="0"/>
  </w:style>
  <w:style w:type="character" w:customStyle="1" w:styleId="6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542</Words>
  <Characters>3855</Characters>
  <Lines>202</Lines>
  <Paragraphs>97</Paragraphs>
  <TotalTime>82</TotalTime>
  <ScaleCrop>false</ScaleCrop>
  <LinksUpToDate>false</LinksUpToDate>
  <CharactersWithSpaces>4300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2022-11-23T13:53:00Z</dcterms:created>
  <dc:creator>Generalni sekretar</dc:creator>
  <cp:lastModifiedBy>Nenad Janković</cp:lastModifiedBy>
  <dcterms:modified xsi:type="dcterms:W3CDTF">2023-12-29T07:26:58Z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5890e33c319a862ce12e76de68ef775ef7556646f5a22fb1c31afa69e73d2f1e</vt:lpwstr>
  </property>
  <property fmtid="{D5CDD505-2E9C-101B-9397-08002B2CF9AE}" pid="3" name="KSOProductBuildVer">
    <vt:lpwstr>1033-12.2.0.13359</vt:lpwstr>
  </property>
  <property fmtid="{D5CDD505-2E9C-101B-9397-08002B2CF9AE}" pid="4" name="ICV">
    <vt:lpwstr>00E3A759133F45319D5D76A3519DC19C_13</vt:lpwstr>
  </property>
</Properties>
</file>