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 w:eastAsia="Times New Roman" w:cs="Times New Roman"/>
          <w:b/>
          <w:bCs/>
          <w:color w:val="000000"/>
          <w:sz w:val="28"/>
          <w:szCs w:val="28"/>
        </w:rPr>
        <w:t>OСНОВНИ ПОДАЦИ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2"/>
        <w:gridCol w:w="58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8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C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Емилија Миловић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04.11.1995. 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Истраживач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emilija.milovic@pmf.kg.ac.rs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K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хемија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jc w:val="both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t>ОСНОВНЕ СТУДИЈЕ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6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2018.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t>МАСТЕР СТУДИЈЕ ИЛИ МАГИСТАРСКЕ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6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2019.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t>ДОКТОРСКА ДИСЕРТАЦИЈА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48"/>
        <w:gridCol w:w="58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8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Научно 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4397"/>
        <w:gridCol w:w="26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5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25.12.2019.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Крагујевац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Истраживач-приправник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21.12.2022.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Институт за информационе технологије Kрагујевац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Истраживач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5645"/>
        <w:gridCol w:w="17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2022.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Универзитет у Порту, Природно-математички факултет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 месеца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2023.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Универзитет у Бургосу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Факултет здравствених наука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 месец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Style w:val="4"/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footnoteReference w:id="0"/>
      </w:r>
    </w:p>
    <w:tbl>
      <w:tblPr>
        <w:tblStyle w:val="3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М11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Истакнута монографија међународног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М12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Монографија међународног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Списак резултата М13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Монографска студија/поглавље у књизи М11 или рад у тематском зборнику водећег међународног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b/>
                <w:bCs/>
                <w:color w:val="000000"/>
                <w:sz w:val="27"/>
                <w:szCs w:val="27"/>
              </w:rPr>
              <w:t>Списак резултата М14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Монографска студија/поглавље у књизи М12 или рад у тематском зборнику међународног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М21а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Рад у међународном часопису изузетних вредности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milija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 xml:space="preserve">, Nenad Z. Janković, Milan B. Vraneš, Srdjan Stefanović, Jelena Petronijević, Nenad Joksimović, Jovana M. Muškinja, Zoran R. Ratković.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Green one-pot synthesis of pyrido-dipyrimidine DNA-base hybrids in water, </w:t>
            </w:r>
            <w:r>
              <w:rPr>
                <w:rFonts w:ascii="Palatino Linotype" w:hAnsi="Palatino Linotype" w:eastAsia="Times New Roman" w:cs="Times New Roman"/>
                <w:bCs/>
                <w:iCs/>
                <w:color w:val="000000"/>
                <w:sz w:val="27"/>
                <w:szCs w:val="27"/>
              </w:rPr>
              <w:t>Environmental Chemistry Letters, 19, 729–736, 2021.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>DOI: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 xml:space="preserve">10.1007/s10311-020-01076-9. 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М21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Рад у врхунском међународном часопису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 xml:space="preserve">Jelena Petronijević, Nenad Joksimović,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 xml:space="preserve">, Marija Đorđić Crnogorac, Nina Petrović, Tatjana Stanojković, Dušan Milivojević, Nenad Janković, </w:t>
            </w:r>
            <w:r>
              <w:rPr>
                <w:rFonts w:ascii="Palatino Linotype" w:hAnsi="Palatino Linotype" w:eastAsia="Times New Roman" w:cs="Times New Roman"/>
                <w:bCs/>
                <w:i/>
                <w:color w:val="000000"/>
                <w:sz w:val="27"/>
                <w:szCs w:val="27"/>
              </w:rPr>
              <w:t>Antitumor activity, DNA and BSA interactions of novel copper(II) complexes with 3,4-dihydro-2(1H)-quinoxalinones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>, Chem-Biol. Interact. 348, 109647, 2021.  doi: 10.1016/j.cbi.2021.109647.</w:t>
            </w:r>
          </w:p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 xml:space="preserve">, Nenad Janković, Jelena Petronijević, Nenad Joksimović, Marijana Kosanić, Tatjana Stanojković, Ivana Matić, Nadja Grozdanić, Olivera Klisurić, Srdjan Stefanović.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  <w:sz w:val="27"/>
                <w:szCs w:val="27"/>
              </w:rPr>
              <w:t xml:space="preserve">Synthesis, characterization, and biological evaluation of tetrahydropyrimidines: Dual-activity and mechanism of action. 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>Pharmacautics, 14, 10, 2254, 2022. DOI: 10.3390/pharmaceutics14102254.</w:t>
            </w:r>
          </w:p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 xml:space="preserve">Nenad Janković,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 xml:space="preserve">, Jelena Đorović Jovanović, Zoran Marković, Milan Vraneš, Tatjana Stanojković, Ivana Matić, Marija Đorđić Crnogorac, Olivera Klisurić, Miroslav Cvetinov, Syed Nasir Abbas Bukhari.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  <w:sz w:val="27"/>
                <w:szCs w:val="27"/>
              </w:rPr>
              <w:t>A new class of half-sandwich ruthenium complexes containing Biginelli hybrids: anticancer and anti-SARS-CoV-2 activities.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 xml:space="preserve"> Chem-Biol. Interact. 25, 110025, 2022. DOI: 10.1016/j.cbi.2022.110025.</w:t>
            </w:r>
          </w:p>
          <w:p>
            <w:pPr>
              <w:pStyle w:val="8"/>
              <w:spacing w:after="0" w:line="240" w:lineRule="auto"/>
              <w:ind w:left="1080"/>
              <w:jc w:val="both"/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М22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Рад у истакнутом међународном часопису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  <w:t xml:space="preserve">, Nenad Janković, Goran A. Bogdanović, Jelena Petronijević, Nenad Joksimović.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  <w:sz w:val="27"/>
                <w:szCs w:val="27"/>
                <w:lang w:val="en-US"/>
              </w:rPr>
              <w:t xml:space="preserve">On water synthesis of the novel 2-oxo-1,2,3,4-tetrahydropyrimidines, </w:t>
            </w:r>
            <w:r>
              <w:rPr>
                <w:rFonts w:ascii="Palatino Linotype" w:hAnsi="Palatino Linotype" w:eastAsia="Times New Roman" w:cs="Times New Roman"/>
                <w:bCs/>
                <w:iCs/>
                <w:color w:val="000000"/>
                <w:sz w:val="27"/>
                <w:szCs w:val="27"/>
                <w:lang w:val="en-US"/>
              </w:rPr>
              <w:t xml:space="preserve">Tetrahedron. 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  <w:lang w:val="en-US"/>
              </w:rPr>
              <w:t>78. 131790, 2021. DOI: 10.1016/j.tet.2020.131790.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="Times New Roman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Nenad Joksimović, Jelena Petronijević, </w:t>
            </w:r>
            <w:r>
              <w:rPr>
                <w:rFonts w:ascii="Palatino Linotype" w:hAnsi="Palatino Linotype" w:cs="Times New Roman"/>
                <w:b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, Nenad Janković, Dejan Baskić, Suzana Popović, Danijela Todorović, Sanja Matić, Milan Vraneš, Aleksandar Tot. </w:t>
            </w:r>
            <w:r>
              <w:rPr>
                <w:rFonts w:ascii="Palatino Linotype" w:hAnsi="Palatino Linotype" w:cs="Times New Roman"/>
                <w:i/>
                <w:sz w:val="27"/>
                <w:szCs w:val="27"/>
              </w:rPr>
              <w:t>Synthesis, characterization, antitumor potential, BSA and DNA binding properties, and molecular docking study of some novel 3-hydroxy-3-pyrrolin-2-ones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>, Med. Chem. 2021. doi: 10.2174/1573406417666210803094127</w:t>
            </w:r>
            <w:r>
              <w:rPr>
                <w:rFonts w:ascii="Palatino Linotype" w:hAnsi="Palatino Linotype" w:cs="Times New Roman"/>
                <w:b/>
                <w:sz w:val="27"/>
                <w:szCs w:val="27"/>
              </w:rPr>
              <w:t xml:space="preserve">. 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="Times New Roman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Nenad Joksimović, Jelena Petronijević, Dušan Ćoćić, Nenad Janković, </w:t>
            </w:r>
            <w:r>
              <w:rPr>
                <w:rFonts w:ascii="Palatino Linotype" w:hAnsi="Palatino Linotype" w:cs="Times New Roman"/>
                <w:b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, Marijana Kosanić, Nevena Petrović. </w:t>
            </w:r>
            <w:r>
              <w:rPr>
                <w:rFonts w:ascii="Palatino Linotype" w:hAnsi="Palatino Linotype" w:cs="Times New Roman"/>
                <w:i/>
                <w:sz w:val="27"/>
                <w:szCs w:val="27"/>
              </w:rPr>
              <w:t>Synthesis, characterization, biological evaluation, BSA binding properties, density functional theory and molecular docking study of Schiff bases,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 J. Mol. Struct. 1244, 13095, 2021. doi: 10.1016/j.molstruc.2021.130952. 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="Times New Roman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b/>
                <w:bCs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, Jelena Petronijević, Nenad Joksimović, Milan Beljkaš, Dušan Ružić, Katarina Nikolić, Milan Vraneš, Aleksandar Tot, Marija Đorđić-Crnogorac, Tatjana Stanojković, Nenad Janković. </w:t>
            </w:r>
            <w:r>
              <w:rPr>
                <w:rFonts w:ascii="Palatino Linotype" w:hAnsi="Palatino Linotype" w:cs="Times New Roman"/>
                <w:i/>
                <w:iCs/>
                <w:sz w:val="27"/>
                <w:szCs w:val="27"/>
              </w:rPr>
              <w:t>Anticancer evaluation of the selected tetrahydropyrimidines: 3D-QSAR, cytotoxic activities, mechanism of action, DNA, and BSA interactions,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 J. Mol. Struct. 1257, 2022. DOI: 10.1016/j.molstruc.2022.132621.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="Times New Roman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Kristina Mihajlović, Nenad Joksimović, Snežana Radisavljević, Jelena Petronijević, Ignjat Filipović, Nenad Janković, </w:t>
            </w:r>
            <w:r>
              <w:rPr>
                <w:rFonts w:ascii="Palatino Linotype" w:hAnsi="Palatino Linotype" w:cs="Times New Roman"/>
                <w:b/>
                <w:bCs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, Suzana Popović, Sanja Matić, Dejan Baskić. </w:t>
            </w:r>
            <w:r>
              <w:rPr>
                <w:rFonts w:ascii="Palatino Linotype" w:hAnsi="Palatino Linotype" w:cs="Times New Roman"/>
                <w:i/>
                <w:iCs/>
                <w:sz w:val="27"/>
                <w:szCs w:val="27"/>
              </w:rPr>
              <w:t>Examination of antitumor potential of some acylpyruvates, interaction with DNA and binding properties with transport protein,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 J. Mol. Struct. 1270, 2022. DOI: 10.1016/j.molstruc.2022.133943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="Times New Roman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Nenad  Joksimović, Jelena Petronijević,  </w:t>
            </w:r>
            <w:r>
              <w:rPr>
                <w:rFonts w:ascii="Palatino Linotype" w:hAnsi="Palatino Linotype" w:cs="Times New Roman"/>
                <w:b/>
                <w:bCs/>
                <w:sz w:val="27"/>
                <w:szCs w:val="27"/>
              </w:rPr>
              <w:t>Emilija  Milović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, Nenad Janković,  Marijana Kosanić, Nevena Petrović. </w:t>
            </w:r>
            <w:r>
              <w:rPr>
                <w:rFonts w:ascii="Palatino Linotype" w:hAnsi="Palatino Linotype" w:cs="Times New Roman"/>
                <w:i/>
                <w:iCs/>
                <w:sz w:val="27"/>
                <w:szCs w:val="27"/>
              </w:rPr>
              <w:t>Antioxidant and Antimicrobial Potential, BSA and DNA Binding Properties of Some 3-Hydroxy-3-Pyrrolin-2-Ones Bearing Thenoyl Fragment,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 Med. Chem. 18, 7, 784-790, 2022. DOI: 10.2174/1573406418666220304230342.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="Times New Roman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Kristina Mihajlović,  Nenad Joksimović, Nenad  Janković, </w:t>
            </w:r>
            <w:r>
              <w:rPr>
                <w:rFonts w:ascii="Palatino Linotype" w:hAnsi="Palatino Linotype" w:cs="Times New Roman"/>
                <w:b/>
                <w:bCs/>
                <w:sz w:val="27"/>
                <w:szCs w:val="27"/>
              </w:rPr>
              <w:t>Emilija  Milović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, Jelena Petronijević, Ignjat Filipović, Jovana  Muškinja, Nevena Petrović, Marijana  Kosanić. </w:t>
            </w:r>
            <w:r>
              <w:rPr>
                <w:rFonts w:ascii="Palatino Linotype" w:hAnsi="Palatino Linotype" w:cs="Times New Roman"/>
                <w:i/>
                <w:iCs/>
                <w:sz w:val="27"/>
                <w:szCs w:val="27"/>
              </w:rPr>
              <w:t>Synthesis, characterization, and biological activity of some 2,4-diketo esters containing dehydrozingerone fragment: DNA and protein binding study,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 Bioorg. Med. Chem. Lett. vol 93, 2023. DOI: 10.1016/j.bmcl.2023.129413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="Times New Roman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Nenad Janković, Julijana Tadić, </w:t>
            </w:r>
            <w:r>
              <w:rPr>
                <w:rFonts w:ascii="Palatino Linotype" w:hAnsi="Palatino Linotype" w:cs="Times New Roman"/>
                <w:b/>
                <w:bCs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, Zoran Marković, Svetlana Jeremić, Jelena  Petronijević, Nenad Joksimović, Teona Teodora Borović, Syed Nasir Abbas Bukhari. </w:t>
            </w:r>
            <w:r>
              <w:rPr>
                <w:rFonts w:ascii="Palatino Linotype" w:hAnsi="Palatino Linotype" w:cs="Times New Roman"/>
                <w:i/>
                <w:iCs/>
                <w:sz w:val="27"/>
                <w:szCs w:val="27"/>
              </w:rPr>
              <w:t xml:space="preserve">Investigation of the radical scavenging potential of vanillin-based pyrido-dipyrimidines: experimental and in silico approach, 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>RSC Adv. 13, 22, 15236-15242, 2023. DOI: 10.1039/D3RA02469E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="Times New Roman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Kristina Mihajlović, Nenand Joksimović, Jelena Petronijević, Ignjat Filipović, Nenad Janković, </w:t>
            </w:r>
            <w:r>
              <w:rPr>
                <w:rFonts w:ascii="Palatino Linotype" w:hAnsi="Palatino Linotype" w:cs="Times New Roman"/>
                <w:b/>
                <w:bCs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, Suzana Popović, Sanja  Matić, Dejan Baskić. </w:t>
            </w:r>
            <w:r>
              <w:rPr>
                <w:rFonts w:ascii="Palatino Linotype" w:hAnsi="Palatino Linotype" w:cs="Times New Roman"/>
                <w:i/>
                <w:iCs/>
                <w:sz w:val="27"/>
                <w:szCs w:val="27"/>
              </w:rPr>
              <w:t xml:space="preserve">Anticancer potential of some beta-diketonates: DNA interactions, protein binding properties, and molecular docking study, 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>Nat. Prod. Res. 37, 18, 3191-3197, 2023. DOI: 10.1080/14786419.2022.2148245.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jc w:val="both"/>
              <w:rPr>
                <w:rFonts w:ascii="Palatino Linotype" w:hAnsi="Palatino Linotype" w:cs="Times New Roman"/>
                <w:sz w:val="27"/>
                <w:szCs w:val="27"/>
              </w:rPr>
            </w:pP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Nenad Joksimović, Jelena Petronijević, Snežana Radisavljević, Biljana Petrović, Kristina Mihajlović, Nenad Janković, </w:t>
            </w:r>
            <w:r>
              <w:rPr>
                <w:rFonts w:ascii="Palatino Linotype" w:hAnsi="Palatino Linotype" w:cs="Times New Roman"/>
                <w:b/>
                <w:bCs/>
                <w:sz w:val="27"/>
                <w:szCs w:val="27"/>
              </w:rPr>
              <w:t>Emilija Milović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, Dušan Milivojević, Bojana Ilić, Ana Đurić. </w:t>
            </w:r>
            <w:r>
              <w:rPr>
                <w:rFonts w:ascii="Palatino Linotype" w:hAnsi="Palatino Linotype" w:cs="Times New Roman"/>
                <w:i/>
                <w:iCs/>
                <w:sz w:val="27"/>
                <w:szCs w:val="27"/>
              </w:rPr>
              <w:t>Synthesis, characterization, antitumor potential, and investigation of mechanism of action of copper(ii) complexes with acylpyruvates as ligands: interactions with biomolecules and kinetic study,</w:t>
            </w:r>
            <w:r>
              <w:rPr>
                <w:rFonts w:ascii="Palatino Linotype" w:hAnsi="Palatino Linotype" w:cs="Times New Roman"/>
                <w:sz w:val="27"/>
                <w:szCs w:val="27"/>
              </w:rPr>
              <w:t xml:space="preserve"> RSC Adv. 12, 47, 30501-30513, 2022. DOI: 10.1039/D2RA05797B.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М23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Рад у међународном часопису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М24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Рад у националном часопису међународног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М33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Саопштење са међународног скупа штампано у целини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8"/>
              <w:numPr>
                <w:ilvl w:val="0"/>
                <w:numId w:val="4"/>
              </w:numPr>
              <w:spacing w:after="0" w:line="240" w:lineRule="auto"/>
              <w:ind w:left="499" w:hanging="283"/>
              <w:jc w:val="both"/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</w:pPr>
            <w:r>
              <w:rPr>
                <w:rFonts w:ascii="Palatino Linotype" w:hAnsi="Palatino Linotype" w:cs="Times New Roman"/>
              </w:rPr>
              <w:t xml:space="preserve">Nenad Janković, </w:t>
            </w:r>
            <w:r>
              <w:rPr>
                <w:rFonts w:ascii="Palatino Linotype" w:hAnsi="Palatino Linotype" w:cs="Times New Roman"/>
                <w:b/>
              </w:rPr>
              <w:t>Emilija Milović</w:t>
            </w:r>
            <w:r>
              <w:rPr>
                <w:rFonts w:ascii="Palatino Linotype" w:hAnsi="Palatino Linotype" w:cs="Times New Roman"/>
              </w:rPr>
              <w:t xml:space="preserve">, Jelena Petronijević, Nenad Joksimović, Dušan Milivojević. </w:t>
            </w:r>
            <w:r>
              <w:rPr>
                <w:rFonts w:ascii="Palatino Linotype" w:hAnsi="Palatino Linotype" w:cs="Times New Roman"/>
                <w:i/>
                <w:iCs/>
              </w:rPr>
              <w:t>Synthesis, characterization and antioxidative properties of the first Biginelli-based organogels</w:t>
            </w:r>
            <w:r>
              <w:rPr>
                <w:rFonts w:ascii="Palatino Linotype" w:hAnsi="Palatino Linotype" w:cs="Times New Roman"/>
              </w:rPr>
              <w:t xml:space="preserve">, X International Conference of Social and Technological Development, Trebinje, Republic of Srpska, B&amp;H, June 03-06, 2021. </w:t>
            </w:r>
          </w:p>
          <w:p>
            <w:pPr>
              <w:pStyle w:val="8"/>
              <w:numPr>
                <w:ilvl w:val="0"/>
                <w:numId w:val="4"/>
              </w:numPr>
              <w:spacing w:after="0" w:line="240" w:lineRule="auto"/>
              <w:ind w:left="499" w:hanging="283"/>
              <w:jc w:val="both"/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Nenad Janković, Jelena Petronijević, Nenad Joksimović.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Chemico-biological interaction of selected tetrahydropyrimidines,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 1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vertAlign w:val="superscript"/>
              </w:rPr>
              <w:t>st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 International Conference on Chemo and Bioinformatics, Kragujevac,</w:t>
            </w:r>
            <w:r>
              <w:t xml:space="preserve"> 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Serbia, October 26-27, 2021. doi:10.46793/ICCBI21.347M.</w:t>
            </w:r>
            <w:r>
              <w:t xml:space="preserve"> 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ISBN:978-86-82172-01-7.</w:t>
            </w:r>
          </w:p>
          <w:p>
            <w:pPr>
              <w:pStyle w:val="8"/>
              <w:numPr>
                <w:ilvl w:val="0"/>
                <w:numId w:val="4"/>
              </w:numPr>
              <w:spacing w:after="0" w:line="240" w:lineRule="auto"/>
              <w:ind w:left="499" w:hanging="283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Kristina Mihajlović, Nenad Joksimović, Jelena Petronijević, Nenad Janković.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Investigation of binding mode of novel 2,4-diketo esters to BSA.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 2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vertAlign w:val="superscript"/>
              </w:rPr>
              <w:t>nd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 International Conference on Chemo and Bioinformatics, Kragujevac, Serbia, September 28-29, 2023. DOI: 10.46793/ICCBI23.463M. ISBN: 978-86-82172-02-4.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М34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Саопштење са међународног скупа штампано у изводу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Nenad Janković,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Milan Vraneš, Filip Bugarčić,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Phenylseleno-induced sythesis of fused bicyclic thiazino- and thiazolo-pyrimidine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, 14th International Conference on the Chemistry of Selenium and Tellurium, Santa Margherita di Pula (CA), Italy, Flamingo Resort Hotel, June 3-7, 2019, Book of Abstracts, PP14.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Jelena Petronijević, Nenad Joksimović,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Milović,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 Nenad Janković,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Biginelli hybrids as antitumor agents: mechanism of action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, 6th EFMC Young Medicinal Chemist Symposium, Athens, Greece, September 5-6, 2019, Book of Abstracts, P-074.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Nenad Joksimović, Jelena Petronijević,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 xml:space="preserve">Emilija Milović, 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Nenad Janković,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Synthesis, anticancer evaluation and mechanism of cytotoxic activity of 3-hydroxy-3-pyrrolin-2-ones bearing thenoyl fragment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, 6th EFMC Young Medicinal Chemist Symposium, Athens, Greece, September 5-6, 2019, Book of Abstracts, P-042.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Nenad Joksimović, Jelena Petronijević, Nenad Janković, Kristina Mihajlović,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The first application of organoselenium reagents in Biginelli chemistry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, IV. ICONTRENDS, St. Petersburg, Russia, July 7-9, 2020, Book of Abstracts, page 18-19. ISBN: 978-625-400-393-6.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Filip Bugarčić,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Nenad Joksimović, Jelena Petronijević,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Economic and environmental aspects of β-dicarbonyl compounds in the chemical treatment of potable and wastewater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, IV. ICONTRENDS, St. Petersburg, Russia, July 7-9, 2020, Book of Abstracts, page 20-21. ISBN: 978-625-400-393-6.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Kristina Mihajlović, Jovana Marjanović, Vera Divac, Marina Kostić,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Zorica Bugarčić,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Kinetic and mehanistic studies of pyridine-catalyzed selenolaktonization of 2-cyclopentene-1-acetic acid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, IV. ICONTRENDS, St. Petersburg, Russia, July 7-9, 2020, Book of Abstracts, page 22-23. ISBN: 978-625-400-393-6.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Nenad Janković, Jelena Petronijević, Nenad Joksimović,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Synthesis and Biological activity of the nanomaterials based on Biginelli hybrids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, 7th International Congress “Engineering, Environment and Materials in Process Industry” Jahorina, March 17 – 19, 2021, Book of Abstracts, MAT-12. ISBN: 978-99955-81-38-1.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Nenad Joksimović, Jelena Petronijević, Nenad Janković, Dejan Baskić,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Anticancer activity of selected β-diketonates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>, I Internacional Conference of Advances in Science and Technology, Herceg Novi, Montenegro, May 26-29, 2022, Book of Abstracts, page 57. ISBN: 978-9940-611-03-3.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Nenad Janković,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Jelena Petronijević, Nenad Joksimović, Sebastian S. Baloš,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Selected tetrahydropyrimidines as template for organogel formation,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 XI International Conference of Social and Technological Development, Trebinje, Republic of Srpska, B&amp;H, June 02-05, 2022. Book of Abstracts, page 112. ISSN: 2637-3298.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Jelena Petronijević, Julijana Tadić,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Nenad Joksimović, Nenad Janković,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Vanillin-based pyrido-dipyrimidines: synthesis and antioxidant activity,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 XII International Conference of Social and Technological Development, Trebinje, Republic of Srpska, B&amp;H, June 15-18, 2023. Book of Abstracts, page 106. ISSN 2637-3298.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 w:eastAsia="Times New Roman" w:cs="Times New Roman"/>
                <w:bCs/>
                <w:color w:val="000000"/>
              </w:rPr>
            </w:pP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Kristina Mihajlović, Nenad Joksimović, Jelena Petronijević, Nenad Janković,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bCs/>
                <w:i/>
                <w:iCs/>
                <w:color w:val="000000"/>
              </w:rPr>
              <w:t>The interactions of biologically active vanillin derivatives with biomolecules,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 38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  <w:vertAlign w:val="superscript"/>
              </w:rPr>
              <w:t>th</w:t>
            </w:r>
            <w:r>
              <w:rPr>
                <w:rFonts w:ascii="Palatino Linotype" w:hAnsi="Palatino Linotype" w:eastAsia="Times New Roman" w:cs="Times New Roman"/>
                <w:bCs/>
                <w:color w:val="000000"/>
              </w:rPr>
              <w:t xml:space="preserve"> International Conference on Solution Chemistry (38ICSC),  Belgrade, Serbia, July 9-14, 2023. Book of Abstracts, page 152. ISBN: 978-86-7031-624-9.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М41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Истакнута монографија националног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М42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Монографија националног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М43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Монографска библиографска публикација или монографска студија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М44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Поглавље у књизи М41 или рад у истакнутом тематском зборнику водећег националног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резултета М45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Поглавље у књизи М42 или рад у тематском зборнику националног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М51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Рад у врхунском часопису националног значаја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М52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Истакнути национални часопис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М53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Национални часопис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M54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Домаћи новопокренути научни часопис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Palatino Linotype" w:hAnsi="Palatino Linotype" w:eastAsia="Times New Roman" w:cs="Times New Roman"/>
                <w:b/>
                <w:i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i/>
                <w:color w:val="000000"/>
                <w:sz w:val="27"/>
                <w:szCs w:val="27"/>
              </w:rPr>
              <w:t xml:space="preserve">Саопштење са </w:t>
            </w:r>
            <w:r>
              <w:rPr>
                <w:rFonts w:ascii="Palatino Linotype" w:hAnsi="Palatino Linotype" w:eastAsia="Times New Roman" w:cs="Times New Roman"/>
                <w:b/>
                <w:i/>
                <w:color w:val="000000"/>
                <w:sz w:val="27"/>
                <w:szCs w:val="27"/>
                <w:lang w:val="sr-Cyrl-RS"/>
              </w:rPr>
              <w:t>националног</w:t>
            </w:r>
            <w:r>
              <w:rPr>
                <w:rFonts w:ascii="Palatino Linotype" w:hAnsi="Palatino Linotype" w:eastAsia="Times New Roman" w:cs="Times New Roman"/>
                <w:b/>
                <w:i/>
                <w:color w:val="000000"/>
                <w:sz w:val="27"/>
                <w:szCs w:val="27"/>
              </w:rPr>
              <w:t xml:space="preserve"> скупа штампано у изводу</w:t>
            </w:r>
          </w:p>
          <w:p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4"/>
                <w:szCs w:val="24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 xml:space="preserve">, Nenad Joksimović, Jelena Petronijević, Nenad Janković, </w:t>
            </w:r>
            <w:r>
              <w:rPr>
                <w:rFonts w:ascii="Palatino Linotype" w:hAnsi="Palatino Linotype" w:eastAsia="Times New Roman" w:cs="Times New Roman"/>
                <w:i/>
                <w:color w:val="000000"/>
                <w:sz w:val="24"/>
                <w:szCs w:val="24"/>
              </w:rPr>
              <w:t xml:space="preserve">Green synthesis of bicyclic thiazolo-pyrimidines, </w:t>
            </w: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>7th Conference of the Young Chemists of Serbia, Belgrade, 2nd November 2019, Book of Abstracts, CS PP 06 (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4"/>
                <w:szCs w:val="24"/>
              </w:rPr>
              <w:t>M64</w:t>
            </w: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>).</w:t>
            </w:r>
          </w:p>
          <w:p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 xml:space="preserve">Nenad Joksimović, Jelena Petronijević,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4"/>
                <w:szCs w:val="24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 xml:space="preserve">, Nenad Janković, </w:t>
            </w:r>
            <w:r>
              <w:rPr>
                <w:rFonts w:ascii="Palatino Linotype" w:hAnsi="Palatino Linotype" w:eastAsia="Times New Roman" w:cs="Times New Roman"/>
                <w:i/>
                <w:color w:val="000000"/>
                <w:sz w:val="24"/>
                <w:szCs w:val="24"/>
              </w:rPr>
              <w:t xml:space="preserve">Antioxidant activity of β-diketonates and effects of coordination to copper(II) ion on their activity, </w:t>
            </w: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>7th Conference of the Young Chemists of Serbia, Belgrade, 2nd November 2019, Book of Abstracts, MC PP 01 (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4"/>
                <w:szCs w:val="24"/>
              </w:rPr>
              <w:t>M64</w:t>
            </w: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>).</w:t>
            </w:r>
          </w:p>
          <w:p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 xml:space="preserve">Jelena Petronijević, Nenad Joksimović, 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4"/>
                <w:szCs w:val="24"/>
              </w:rPr>
              <w:t>Emilija Milović</w:t>
            </w: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 xml:space="preserve">, Nenad Janković, </w:t>
            </w:r>
            <w:r>
              <w:rPr>
                <w:rFonts w:ascii="Palatino Linotype" w:hAnsi="Palatino Linotype" w:eastAsia="Times New Roman" w:cs="Times New Roman"/>
                <w:i/>
                <w:color w:val="000000"/>
                <w:sz w:val="24"/>
                <w:szCs w:val="24"/>
              </w:rPr>
              <w:t xml:space="preserve">Experimental and computational analysis (DFT method) of some quinoxalinones and benzoxazinones, </w:t>
            </w: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>7th Conference of the Young Chemists of Serbia, Belgrade, 2nd November 2019, Book of Abstracts, TC PP 01 (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4"/>
                <w:szCs w:val="24"/>
              </w:rPr>
              <w:t>M64</w:t>
            </w:r>
            <w:r>
              <w:rPr>
                <w:rFonts w:ascii="Palatino Linotype" w:hAnsi="Palatino Linotype" w:eastAsia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240"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М80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Техничка решења –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М90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Патент–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Од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2022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 - COST Action CA18202 –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учесник пројекта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УЧЕШЋЕ НА ПРОЈЕКТИМА СА ПРИВРЕДОМ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КРАТАК ОПИС ИСТРЖИВАЊА У ПРЕТХОДНОМ ПЕРИОДУ (задње четири године)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lang w:val="sr-Latn-CS"/>
        </w:rPr>
      </w:pPr>
      <w:r>
        <w:rPr>
          <w:rFonts w:ascii="Palatino Linotype" w:hAnsi="Palatino Linotype"/>
          <w:lang w:val="sr-Cyrl-RS"/>
        </w:rPr>
        <w:t>С</w:t>
      </w:r>
      <w:r>
        <w:rPr>
          <w:rFonts w:ascii="Palatino Linotype" w:hAnsi="Palatino Linotype"/>
        </w:rPr>
        <w:t>интеза, карактеризација и биолошка испитивања</w:t>
      </w:r>
      <w:r>
        <w:t xml:space="preserve"> </w:t>
      </w:r>
      <w:r>
        <w:rPr>
          <w:rFonts w:ascii="Palatino Linotype" w:hAnsi="Palatino Linotype"/>
        </w:rPr>
        <w:t>тетра(ди)хидропиримидинских деривата са посебним освртом на примен</w:t>
      </w:r>
      <w:r>
        <w:rPr>
          <w:rFonts w:ascii="Palatino Linotype" w:hAnsi="Palatino Linotype"/>
          <w:lang w:val="sr-Cyrl-RS"/>
        </w:rPr>
        <w:t>у принципа зелене хемије и развијању нових одрживих метода за синтезу без коришћење штетних растварача и/или катализатора, јер они чине највећи део реакционог отпада који настаје у синтезама и индустријским процесима. Фармаколошки потенцијал синтетисаних једињења испитиван је на различитим туморским ћелијским линијама, као и на изабраним микробима.</w:t>
      </w:r>
      <w:r>
        <w:rPr>
          <w:rFonts w:ascii="Palatino Linotype" w:hAnsi="Palatino Linotype"/>
          <w:lang w:val="sr-Latn-CS"/>
        </w:rPr>
        <w:t xml:space="preserve"> Значајно је поменути да су се издвојила три једињења које имају IC</w:t>
      </w:r>
      <w:r>
        <w:rPr>
          <w:rFonts w:ascii="Palatino Linotype" w:hAnsi="Palatino Linotype"/>
          <w:vertAlign w:val="subscript"/>
          <w:lang w:val="sr-Latn-CS"/>
        </w:rPr>
        <w:t>50</w:t>
      </w:r>
      <w:r>
        <w:rPr>
          <w:rFonts w:ascii="Palatino Linotype" w:hAnsi="Palatino Linotype"/>
          <w:lang w:val="sr-Latn-CS"/>
        </w:rPr>
        <w:t xml:space="preserve"> вредности испод 10 μМ на К562 ћелијској линији, док је за једно једињење испитана активност </w:t>
      </w:r>
      <w:r>
        <w:rPr>
          <w:rFonts w:ascii="Palatino Linotype" w:hAnsi="Palatino Linotype"/>
          <w:i/>
          <w:iCs/>
          <w:lang w:val="sr-Latn-CS"/>
        </w:rPr>
        <w:t>in vivo</w:t>
      </w:r>
      <w:r>
        <w:rPr>
          <w:rFonts w:ascii="Palatino Linotype" w:hAnsi="Palatino Linotype"/>
          <w:lang w:val="sr-Latn-CS"/>
        </w:rPr>
        <w:t xml:space="preserve"> на мишевима. Поред тога, урађено је фармакокинетичко испитивање серије супституисаних тетрахидропиримидина с циљем да се изгради SAR модел, који повезује и објашњава утицај структуре тетрахидропиримидина на њихову биолошку активност. Такође, у оквиру експерименталног рада су испитане интеракције најактивнијих једињења са ДНК и албумином. </w:t>
      </w: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lang w:val="sr-Cyrl-RS"/>
        </w:rPr>
        <w:t>Поштујући принципе зелене хемије, циљ је синтеза и карактеризација нових аза-хетероцикличних једињења (посебно тетрахидропиримидина) која ће оставити могућност даљих испитивања инхибиторне активности нових органских једињења према широком спектру патогена тј. о</w:t>
      </w:r>
      <w:r>
        <w:rPr>
          <w:rFonts w:ascii="Palatino Linotype" w:hAnsi="Palatino Linotype"/>
        </w:rPr>
        <w:t>дређивање биолошких и фармаколошких активности (антитуморска, антиоксидантна, антиинфламаторна, ...).</w:t>
      </w:r>
      <w:r>
        <w:t xml:space="preserve"> </w:t>
      </w:r>
      <w:r>
        <w:rPr>
          <w:rFonts w:ascii="Palatino Linotype" w:hAnsi="Palatino Linotype"/>
        </w:rPr>
        <w:t xml:space="preserve">Након потврђене активности, </w:t>
      </w:r>
      <w:r>
        <w:rPr>
          <w:rFonts w:ascii="Palatino Linotype" w:hAnsi="Palatino Linotype"/>
          <w:lang w:val="sr-Cyrl-RS"/>
        </w:rPr>
        <w:t>планирано је испитивање</w:t>
      </w:r>
      <w:r>
        <w:rPr>
          <w:rFonts w:ascii="Palatino Linotype" w:hAnsi="Palatino Linotype"/>
        </w:rPr>
        <w:t xml:space="preserve"> интеракција новосинтетисаних једињења са протеинима плазме и молекулима ДНК, </w:t>
      </w:r>
      <w:r>
        <w:rPr>
          <w:rFonts w:ascii="Palatino Linotype" w:hAnsi="Palatino Linotype"/>
          <w:i/>
          <w:iCs/>
        </w:rPr>
        <w:t>in vivo</w:t>
      </w:r>
      <w:r>
        <w:rPr>
          <w:rFonts w:ascii="Palatino Linotype" w:hAnsi="Palatino Linotype"/>
          <w:lang w:val="sr-Cyrl-RS"/>
        </w:rPr>
        <w:t xml:space="preserve"> испитивања за најбоља једињења из </w:t>
      </w:r>
      <w:r>
        <w:rPr>
          <w:rFonts w:ascii="Palatino Linotype" w:hAnsi="Palatino Linotype"/>
          <w:i/>
          <w:iCs/>
        </w:rPr>
        <w:t>in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i/>
          <w:iCs/>
        </w:rPr>
        <w:t>vitro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lang w:val="sr-Cyrl-RS"/>
        </w:rPr>
        <w:t>студија. У плану су и испитивања у којима би се доказала склоност ових једињења да се самоорганизују у супрамолекуле.</w:t>
      </w:r>
    </w:p>
    <w:p>
      <w:pPr>
        <w:jc w:val="both"/>
        <w:rPr>
          <w:rFonts w:ascii="Palatino Linotype" w:hAnsi="Palatino Linotype"/>
        </w:rPr>
      </w:pPr>
    </w:p>
    <w:p>
      <w:pPr>
        <w:jc w:val="both"/>
        <w:rPr>
          <w:rFonts w:ascii="Palatino Linotype" w:hAnsi="Palatino Linotype"/>
        </w:rPr>
      </w:pPr>
    </w:p>
    <w:p>
      <w:pPr>
        <w:jc w:val="both"/>
        <w:rPr>
          <w:rFonts w:ascii="Palatino Linotype" w:hAnsi="Palatino Linotype"/>
        </w:rPr>
      </w:pPr>
    </w:p>
    <w:p>
      <w:pPr>
        <w:jc w:val="both"/>
        <w:rPr>
          <w:rFonts w:ascii="Palatino Linotype" w:hAnsi="Palatino Linotype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>
      <w:pPr>
        <w:pStyle w:val="5"/>
        <w:rPr>
          <w:rFonts w:ascii="Palatino Linotype" w:hAnsi="Palatino Linotype"/>
        </w:rPr>
      </w:pPr>
      <w:r>
        <w:rPr>
          <w:rStyle w:val="4"/>
          <w:rFonts w:ascii="Palatino Linotype" w:hAnsi="Palatino Linotype"/>
        </w:rPr>
        <w:footnoteRef/>
      </w:r>
      <w:r>
        <w:rPr>
          <w:rFonts w:ascii="Palatino Linotype" w:hAnsi="Palatino Linotype"/>
        </w:rPr>
        <w:t xml:space="preserve"> Публикације и други истраживачки доприноси према важећој класификацији Министарства (Правилник о поступку, начину вредновања и квантитативном исказивању научноистраживачких резултата истраживача, </w:t>
      </w:r>
      <w:r>
        <w:fldChar w:fldCharType="begin"/>
      </w:r>
      <w:r>
        <w:instrText xml:space="preserve"> HYPERLINK "http://www.mpn.gov.rs/wp-content/uploads/2017/03/Pravilnik-2017-preciscen-tekst.pdf" </w:instrText>
      </w:r>
      <w:r>
        <w:fldChar w:fldCharType="separate"/>
      </w:r>
      <w:r>
        <w:rPr>
          <w:rStyle w:val="6"/>
          <w:rFonts w:ascii="Palatino Linotype" w:hAnsi="Palatino Linotype"/>
        </w:rPr>
        <w:t>www.mpn.gov.rs/wp-content/uploads/2017/03/Pravilnik-2017-preciscen-tekst.pdf</w:t>
      </w:r>
      <w:r>
        <w:rPr>
          <w:rStyle w:val="6"/>
          <w:rFonts w:ascii="Palatino Linotype" w:hAnsi="Palatino Linotype"/>
        </w:rPr>
        <w:fldChar w:fldCharType="end"/>
      </w:r>
      <w:r>
        <w:rPr>
          <w:rFonts w:ascii="Palatino Linotype" w:hAnsi="Palatino Linotype"/>
        </w:rPr>
        <w:t xml:space="preserve">) </w:t>
      </w:r>
      <w:r>
        <w:rPr>
          <w:rFonts w:ascii="Palatino Linotype" w:hAnsi="Palatino Linotype"/>
          <w:b/>
          <w:u w:val="single"/>
        </w:rPr>
        <w:t>за последње четири године;</w:t>
      </w:r>
    </w:p>
    <w:p>
      <w:pPr>
        <w:pStyle w:val="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36B81"/>
    <w:multiLevelType w:val="multilevel"/>
    <w:tmpl w:val="05136B81"/>
    <w:lvl w:ilvl="0" w:tentative="0">
      <w:start w:val="1"/>
      <w:numFmt w:val="decimal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B77B5"/>
    <w:multiLevelType w:val="multilevel"/>
    <w:tmpl w:val="0E0B77B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92FC4"/>
    <w:multiLevelType w:val="multilevel"/>
    <w:tmpl w:val="1D492FC4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93940"/>
    <w:multiLevelType w:val="multilevel"/>
    <w:tmpl w:val="2E19394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300B17"/>
    <w:multiLevelType w:val="multilevel"/>
    <w:tmpl w:val="5B300B17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C25"/>
    <w:multiLevelType w:val="multilevel"/>
    <w:tmpl w:val="61111C2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3MDIxNDE1MLI0szRU0lEKTi0uzszPAykwrAUAAMWRnywAAAA="/>
  </w:docVars>
  <w:rsids>
    <w:rsidRoot w:val="0002302C"/>
    <w:rsid w:val="000132C0"/>
    <w:rsid w:val="0002302C"/>
    <w:rsid w:val="000366AB"/>
    <w:rsid w:val="00044FCA"/>
    <w:rsid w:val="0007752F"/>
    <w:rsid w:val="0008170E"/>
    <w:rsid w:val="000C33CC"/>
    <w:rsid w:val="000F552D"/>
    <w:rsid w:val="001175DE"/>
    <w:rsid w:val="00164CC7"/>
    <w:rsid w:val="001A09F3"/>
    <w:rsid w:val="001E5AA1"/>
    <w:rsid w:val="001F5F3C"/>
    <w:rsid w:val="00204DF0"/>
    <w:rsid w:val="002768B3"/>
    <w:rsid w:val="00296629"/>
    <w:rsid w:val="002A0554"/>
    <w:rsid w:val="002A5D54"/>
    <w:rsid w:val="003632EE"/>
    <w:rsid w:val="003A1719"/>
    <w:rsid w:val="00456BFE"/>
    <w:rsid w:val="004619B3"/>
    <w:rsid w:val="00486AF2"/>
    <w:rsid w:val="00596BF6"/>
    <w:rsid w:val="005B09DF"/>
    <w:rsid w:val="005C1D1F"/>
    <w:rsid w:val="00661AEB"/>
    <w:rsid w:val="007132C6"/>
    <w:rsid w:val="00724D8E"/>
    <w:rsid w:val="0073275F"/>
    <w:rsid w:val="00760B91"/>
    <w:rsid w:val="00770B96"/>
    <w:rsid w:val="00827476"/>
    <w:rsid w:val="008409A8"/>
    <w:rsid w:val="008F2E37"/>
    <w:rsid w:val="00926BD2"/>
    <w:rsid w:val="00955CBA"/>
    <w:rsid w:val="009C46D2"/>
    <w:rsid w:val="009C51EE"/>
    <w:rsid w:val="009E2A54"/>
    <w:rsid w:val="009F289A"/>
    <w:rsid w:val="00A0424C"/>
    <w:rsid w:val="00A1184F"/>
    <w:rsid w:val="00A511E7"/>
    <w:rsid w:val="00A64C8A"/>
    <w:rsid w:val="00AE2B7D"/>
    <w:rsid w:val="00AE3258"/>
    <w:rsid w:val="00B070D5"/>
    <w:rsid w:val="00B924F6"/>
    <w:rsid w:val="00BA44B0"/>
    <w:rsid w:val="00C34B79"/>
    <w:rsid w:val="00C94019"/>
    <w:rsid w:val="00D24F18"/>
    <w:rsid w:val="00D50527"/>
    <w:rsid w:val="00DB4D50"/>
    <w:rsid w:val="00E03443"/>
    <w:rsid w:val="00E52817"/>
    <w:rsid w:val="00E94467"/>
    <w:rsid w:val="00EB3C63"/>
    <w:rsid w:val="00ED21E6"/>
    <w:rsid w:val="00F03FAB"/>
    <w:rsid w:val="00F17DAC"/>
    <w:rsid w:val="00F20865"/>
    <w:rsid w:val="00F21572"/>
    <w:rsid w:val="00F3074F"/>
    <w:rsid w:val="00F31619"/>
    <w:rsid w:val="00F60FA6"/>
    <w:rsid w:val="00F727B6"/>
    <w:rsid w:val="00F83A74"/>
    <w:rsid w:val="00FE35A8"/>
    <w:rsid w:val="266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7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otnote Text Char"/>
    <w:basedOn w:val="2"/>
    <w:link w:val="5"/>
    <w:semiHidden/>
    <w:uiPriority w:val="99"/>
    <w:rPr>
      <w:sz w:val="20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sr-Latn-R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74F0-782D-4175-9B62-477E51890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10</Pages>
  <Words>2248</Words>
  <Characters>12820</Characters>
  <Lines>106</Lines>
  <Paragraphs>30</Paragraphs>
  <TotalTime>2968</TotalTime>
  <ScaleCrop>false</ScaleCrop>
  <LinksUpToDate>false</LinksUpToDate>
  <CharactersWithSpaces>15038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2021-01-23T14:22:00Z</dcterms:created>
  <dc:creator>Generalni sekretar</dc:creator>
  <cp:lastModifiedBy>Nenad Janković</cp:lastModifiedBy>
  <dcterms:modified xsi:type="dcterms:W3CDTF">2023-12-27T08:16:11Z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41D298C525C8441E974A7CDD6F0C3ED2_13</vt:lpwstr>
  </property>
</Properties>
</file>